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D4F" w:rsidRDefault="00DC1D4F" w:rsidP="00105BEB">
      <w:pPr>
        <w:spacing w:after="0" w:line="240" w:lineRule="auto"/>
        <w:rPr>
          <w:rFonts w:eastAsia="Times New Roman" w:cstheme="minorHAnsi"/>
          <w:sz w:val="28"/>
          <w:szCs w:val="28"/>
        </w:rPr>
      </w:pPr>
    </w:p>
    <w:p w:rsidR="00DC1D4F" w:rsidRDefault="00B51E62" w:rsidP="00B51E62">
      <w:pPr>
        <w:tabs>
          <w:tab w:val="left" w:pos="3555"/>
        </w:tabs>
        <w:spacing w:after="0" w:line="240" w:lineRule="auto"/>
        <w:jc w:val="center"/>
        <w:rPr>
          <w:rFonts w:eastAsia="Times New Roman" w:cstheme="minorHAnsi"/>
          <w:sz w:val="28"/>
          <w:szCs w:val="28"/>
        </w:rPr>
      </w:pPr>
      <w:r>
        <w:rPr>
          <w:rFonts w:eastAsia="Times New Roman" w:cstheme="minorHAnsi"/>
          <w:sz w:val="28"/>
          <w:szCs w:val="28"/>
        </w:rPr>
        <w:t xml:space="preserve"> </w:t>
      </w: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005909" w:rsidP="00DC1D4F">
      <w:pPr>
        <w:spacing w:after="0" w:line="360" w:lineRule="auto"/>
        <w:jc w:val="center"/>
        <w:rPr>
          <w:rFonts w:ascii="Arial" w:eastAsia="Calibri" w:hAnsi="Arial" w:cs="Arial"/>
          <w:sz w:val="24"/>
          <w:szCs w:val="24"/>
        </w:rPr>
      </w:pPr>
      <w:r w:rsidRPr="00005909">
        <w:rPr>
          <w:rFonts w:ascii="Arial" w:eastAsia="Calibri" w:hAnsi="Arial" w:cs="Arial"/>
          <w:sz w:val="24"/>
          <w:szCs w:val="24"/>
        </w:rPr>
        <w:t xml:space="preserve">Marathon Oil Corporation </w:t>
      </w:r>
      <w:r>
        <w:rPr>
          <w:rFonts w:ascii="Arial" w:eastAsia="Calibri" w:hAnsi="Arial" w:cs="Arial"/>
          <w:sz w:val="24"/>
          <w:szCs w:val="24"/>
        </w:rPr>
        <w:t xml:space="preserve"> </w:t>
      </w:r>
      <w:r w:rsidR="00B51E62" w:rsidRPr="00B51E62">
        <w:rPr>
          <w:rFonts w:ascii="Arial" w:eastAsia="Calibri" w:hAnsi="Arial" w:cs="Arial"/>
          <w:sz w:val="24"/>
          <w:szCs w:val="24"/>
        </w:rPr>
        <w:t xml:space="preserve"> </w:t>
      </w:r>
    </w:p>
    <w:p w:rsidR="00B51E62" w:rsidRPr="00DC1D4F" w:rsidRDefault="00B51E62" w:rsidP="00DC1D4F">
      <w:pPr>
        <w:spacing w:after="0" w:line="360" w:lineRule="auto"/>
        <w:jc w:val="center"/>
        <w:rPr>
          <w:rFonts w:ascii="Arial" w:eastAsia="Calibri" w:hAnsi="Arial" w:cs="Arial"/>
          <w:sz w:val="24"/>
          <w:szCs w:val="24"/>
        </w:rPr>
      </w:pPr>
      <w:r>
        <w:rPr>
          <w:rFonts w:ascii="Arial" w:eastAsia="Calibri" w:hAnsi="Arial" w:cs="Arial"/>
          <w:sz w:val="24"/>
          <w:szCs w:val="24"/>
        </w:rPr>
        <w:t xml:space="preserve">Name of Student </w:t>
      </w:r>
    </w:p>
    <w:p w:rsidR="00DC1D4F" w:rsidRPr="00DC1D4F" w:rsidRDefault="00005909" w:rsidP="00DC1D4F">
      <w:pPr>
        <w:spacing w:after="0" w:line="360" w:lineRule="auto"/>
        <w:jc w:val="center"/>
        <w:rPr>
          <w:rFonts w:ascii="Arial" w:eastAsia="Calibri" w:hAnsi="Arial" w:cs="Arial"/>
          <w:sz w:val="24"/>
          <w:szCs w:val="24"/>
        </w:rPr>
      </w:pPr>
      <w:r>
        <w:rPr>
          <w:rFonts w:ascii="Arial" w:eastAsia="Calibri" w:hAnsi="Arial" w:cs="Arial"/>
          <w:sz w:val="24"/>
          <w:szCs w:val="24"/>
        </w:rPr>
        <w:t xml:space="preserve"> Course </w:t>
      </w:r>
    </w:p>
    <w:p w:rsidR="00DC1D4F" w:rsidRPr="00DC1D4F" w:rsidRDefault="00B51E62" w:rsidP="00DC1D4F">
      <w:pPr>
        <w:spacing w:after="0" w:line="360" w:lineRule="auto"/>
        <w:jc w:val="center"/>
        <w:rPr>
          <w:rFonts w:ascii="Arial" w:eastAsia="Calibri" w:hAnsi="Arial" w:cs="Arial"/>
          <w:sz w:val="24"/>
          <w:szCs w:val="24"/>
        </w:rPr>
      </w:pPr>
      <w:r>
        <w:rPr>
          <w:rFonts w:ascii="Arial" w:eastAsia="Calibri" w:hAnsi="Arial" w:cs="Arial"/>
          <w:sz w:val="24"/>
          <w:szCs w:val="24"/>
        </w:rPr>
        <w:t xml:space="preserve">Date: </w:t>
      </w: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DC1D4F" w:rsidRDefault="00DC1D4F" w:rsidP="00105BEB">
      <w:pPr>
        <w:spacing w:after="0" w:line="240" w:lineRule="auto"/>
        <w:rPr>
          <w:rFonts w:eastAsia="Times New Roman" w:cstheme="minorHAnsi"/>
          <w:sz w:val="28"/>
          <w:szCs w:val="28"/>
        </w:rPr>
      </w:pPr>
    </w:p>
    <w:p w:rsidR="0023393E" w:rsidRPr="0023393E" w:rsidRDefault="00005909" w:rsidP="00F67C01">
      <w:pPr>
        <w:jc w:val="center"/>
        <w:rPr>
          <w:rFonts w:eastAsia="Times New Roman" w:cstheme="minorHAnsi"/>
          <w:b/>
          <w:sz w:val="28"/>
          <w:szCs w:val="28"/>
        </w:rPr>
      </w:pPr>
      <w:r w:rsidRPr="00005909">
        <w:rPr>
          <w:rFonts w:eastAsia="Times New Roman" w:cstheme="minorHAnsi"/>
          <w:b/>
          <w:sz w:val="28"/>
          <w:szCs w:val="28"/>
        </w:rPr>
        <w:lastRenderedPageBreak/>
        <w:t xml:space="preserve">Marathon Oil Corporation </w:t>
      </w:r>
      <w:r>
        <w:rPr>
          <w:rFonts w:eastAsia="Times New Roman" w:cstheme="minorHAnsi"/>
          <w:b/>
          <w:sz w:val="28"/>
          <w:szCs w:val="28"/>
        </w:rPr>
        <w:t xml:space="preserve">  </w:t>
      </w:r>
    </w:p>
    <w:p w:rsidR="00A82BBC" w:rsidRPr="00D63DE6" w:rsidRDefault="00C52531" w:rsidP="00FD2FBD">
      <w:pPr>
        <w:rPr>
          <w:rFonts w:eastAsia="Times New Roman" w:cstheme="minorHAnsi"/>
          <w:b/>
          <w:sz w:val="28"/>
          <w:szCs w:val="28"/>
        </w:rPr>
      </w:pPr>
      <w:r w:rsidRPr="00D63DE6">
        <w:rPr>
          <w:rFonts w:eastAsia="Times New Roman" w:cstheme="minorHAnsi"/>
          <w:b/>
          <w:sz w:val="28"/>
          <w:szCs w:val="28"/>
        </w:rPr>
        <w:t xml:space="preserve">Introduction </w:t>
      </w:r>
    </w:p>
    <w:p w:rsidR="00005909" w:rsidRPr="00D63DE6" w:rsidRDefault="00C52531" w:rsidP="00FD2FBD">
      <w:pPr>
        <w:rPr>
          <w:rFonts w:eastAsia="Times New Roman" w:cstheme="minorHAnsi"/>
          <w:sz w:val="28"/>
          <w:szCs w:val="28"/>
        </w:rPr>
      </w:pPr>
      <w:r>
        <w:rPr>
          <w:rFonts w:eastAsia="Times New Roman" w:cstheme="minorHAnsi"/>
          <w:sz w:val="28"/>
          <w:szCs w:val="28"/>
        </w:rPr>
        <w:t>A f</w:t>
      </w:r>
      <w:r w:rsidRPr="00C52531">
        <w:rPr>
          <w:rFonts w:eastAsia="Times New Roman" w:cstheme="minorHAnsi"/>
          <w:sz w:val="28"/>
          <w:szCs w:val="28"/>
        </w:rPr>
        <w:t xml:space="preserve">inancial analysis </w:t>
      </w:r>
      <w:r>
        <w:rPr>
          <w:rFonts w:eastAsia="Times New Roman" w:cstheme="minorHAnsi"/>
          <w:sz w:val="28"/>
          <w:szCs w:val="28"/>
        </w:rPr>
        <w:t xml:space="preserve">refers to a </w:t>
      </w:r>
      <w:r w:rsidRPr="00C52531">
        <w:rPr>
          <w:rFonts w:eastAsia="Times New Roman" w:cstheme="minorHAnsi"/>
          <w:sz w:val="28"/>
          <w:szCs w:val="28"/>
        </w:rPr>
        <w:t xml:space="preserve">process of </w:t>
      </w:r>
      <w:r w:rsidR="008C462E">
        <w:rPr>
          <w:rFonts w:eastAsia="Times New Roman" w:cstheme="minorHAnsi"/>
          <w:sz w:val="28"/>
          <w:szCs w:val="28"/>
        </w:rPr>
        <w:t>assessing projects,</w:t>
      </w:r>
      <w:r w:rsidRPr="00C52531">
        <w:rPr>
          <w:rFonts w:eastAsia="Times New Roman" w:cstheme="minorHAnsi"/>
          <w:sz w:val="28"/>
          <w:szCs w:val="28"/>
        </w:rPr>
        <w:t xml:space="preserve"> </w:t>
      </w:r>
      <w:r w:rsidR="008C462E">
        <w:rPr>
          <w:rFonts w:eastAsia="Times New Roman" w:cstheme="minorHAnsi"/>
          <w:sz w:val="28"/>
          <w:szCs w:val="28"/>
        </w:rPr>
        <w:t xml:space="preserve">budgets, </w:t>
      </w:r>
      <w:r w:rsidRPr="00C52531">
        <w:rPr>
          <w:rFonts w:eastAsia="Times New Roman" w:cstheme="minorHAnsi"/>
          <w:sz w:val="28"/>
          <w:szCs w:val="28"/>
        </w:rPr>
        <w:t>businesses</w:t>
      </w:r>
      <w:r w:rsidR="008C462E" w:rsidRPr="00C52531">
        <w:rPr>
          <w:rFonts w:eastAsia="Times New Roman" w:cstheme="minorHAnsi"/>
          <w:sz w:val="28"/>
          <w:szCs w:val="28"/>
        </w:rPr>
        <w:t>, and</w:t>
      </w:r>
      <w:r w:rsidRPr="00C52531">
        <w:rPr>
          <w:rFonts w:eastAsia="Times New Roman" w:cstheme="minorHAnsi"/>
          <w:sz w:val="28"/>
          <w:szCs w:val="28"/>
        </w:rPr>
        <w:t xml:space="preserve"> othe</w:t>
      </w:r>
      <w:r w:rsidR="008C462E">
        <w:rPr>
          <w:rFonts w:eastAsia="Times New Roman" w:cstheme="minorHAnsi"/>
          <w:sz w:val="28"/>
          <w:szCs w:val="28"/>
        </w:rPr>
        <w:t xml:space="preserve">r finance-related transactions for purposes of </w:t>
      </w:r>
      <w:r w:rsidRPr="00C52531">
        <w:rPr>
          <w:rFonts w:eastAsia="Times New Roman" w:cstheme="minorHAnsi"/>
          <w:sz w:val="28"/>
          <w:szCs w:val="28"/>
        </w:rPr>
        <w:t>determin</w:t>
      </w:r>
      <w:r w:rsidR="008C462E">
        <w:rPr>
          <w:rFonts w:eastAsia="Times New Roman" w:cstheme="minorHAnsi"/>
          <w:sz w:val="28"/>
          <w:szCs w:val="28"/>
        </w:rPr>
        <w:t xml:space="preserve">ing </w:t>
      </w:r>
      <w:r w:rsidRPr="00C52531">
        <w:rPr>
          <w:rFonts w:eastAsia="Times New Roman" w:cstheme="minorHAnsi"/>
          <w:sz w:val="28"/>
          <w:szCs w:val="28"/>
        </w:rPr>
        <w:t xml:space="preserve">their performance and </w:t>
      </w:r>
      <w:r w:rsidR="008C462E">
        <w:rPr>
          <w:rFonts w:eastAsia="Times New Roman" w:cstheme="minorHAnsi"/>
          <w:sz w:val="28"/>
          <w:szCs w:val="28"/>
        </w:rPr>
        <w:t xml:space="preserve">consequent </w:t>
      </w:r>
      <w:r w:rsidRPr="00C52531">
        <w:rPr>
          <w:rFonts w:eastAsia="Times New Roman" w:cstheme="minorHAnsi"/>
          <w:sz w:val="28"/>
          <w:szCs w:val="28"/>
        </w:rPr>
        <w:t xml:space="preserve">suitability. </w:t>
      </w:r>
      <w:r w:rsidR="008C462E">
        <w:rPr>
          <w:rFonts w:eastAsia="Times New Roman" w:cstheme="minorHAnsi"/>
          <w:sz w:val="28"/>
          <w:szCs w:val="28"/>
        </w:rPr>
        <w:t>In a t</w:t>
      </w:r>
      <w:r w:rsidRPr="00C52531">
        <w:rPr>
          <w:rFonts w:eastAsia="Times New Roman" w:cstheme="minorHAnsi"/>
          <w:sz w:val="28"/>
          <w:szCs w:val="28"/>
        </w:rPr>
        <w:t>ypical</w:t>
      </w:r>
      <w:r w:rsidR="008C462E">
        <w:rPr>
          <w:rFonts w:eastAsia="Times New Roman" w:cstheme="minorHAnsi"/>
          <w:sz w:val="28"/>
          <w:szCs w:val="28"/>
        </w:rPr>
        <w:t xml:space="preserve"> occasion</w:t>
      </w:r>
      <w:r w:rsidRPr="00C52531">
        <w:rPr>
          <w:rFonts w:eastAsia="Times New Roman" w:cstheme="minorHAnsi"/>
          <w:sz w:val="28"/>
          <w:szCs w:val="28"/>
        </w:rPr>
        <w:t xml:space="preserve">, </w:t>
      </w:r>
      <w:r w:rsidR="008C462E">
        <w:rPr>
          <w:rFonts w:eastAsia="Times New Roman" w:cstheme="minorHAnsi"/>
          <w:sz w:val="28"/>
          <w:szCs w:val="28"/>
        </w:rPr>
        <w:t xml:space="preserve">a </w:t>
      </w:r>
      <w:r w:rsidRPr="00C52531">
        <w:rPr>
          <w:rFonts w:eastAsia="Times New Roman" w:cstheme="minorHAnsi"/>
          <w:sz w:val="28"/>
          <w:szCs w:val="28"/>
        </w:rPr>
        <w:t xml:space="preserve">financial analysis is </w:t>
      </w:r>
      <w:r w:rsidR="008C462E">
        <w:rPr>
          <w:rFonts w:eastAsia="Times New Roman" w:cstheme="minorHAnsi"/>
          <w:sz w:val="28"/>
          <w:szCs w:val="28"/>
        </w:rPr>
        <w:t xml:space="preserve">performed to find out </w:t>
      </w:r>
      <w:r w:rsidRPr="00C52531">
        <w:rPr>
          <w:rFonts w:eastAsia="Times New Roman" w:cstheme="minorHAnsi"/>
          <w:sz w:val="28"/>
          <w:szCs w:val="28"/>
        </w:rPr>
        <w:t xml:space="preserve">whether an </w:t>
      </w:r>
      <w:r w:rsidR="008C462E">
        <w:rPr>
          <w:rFonts w:eastAsia="Times New Roman" w:cstheme="minorHAnsi"/>
          <w:sz w:val="28"/>
          <w:szCs w:val="28"/>
        </w:rPr>
        <w:t>organization</w:t>
      </w:r>
      <w:r w:rsidRPr="00C52531">
        <w:rPr>
          <w:rFonts w:eastAsia="Times New Roman" w:cstheme="minorHAnsi"/>
          <w:sz w:val="28"/>
          <w:szCs w:val="28"/>
        </w:rPr>
        <w:t xml:space="preserve"> is </w:t>
      </w:r>
      <w:r w:rsidR="008C462E">
        <w:rPr>
          <w:rFonts w:eastAsia="Times New Roman" w:cstheme="minorHAnsi"/>
          <w:sz w:val="28"/>
          <w:szCs w:val="28"/>
        </w:rPr>
        <w:t xml:space="preserve">adequately solvent, liquid, </w:t>
      </w:r>
      <w:r w:rsidRPr="00D63DE6">
        <w:rPr>
          <w:rFonts w:eastAsia="Times New Roman" w:cstheme="minorHAnsi"/>
          <w:sz w:val="28"/>
          <w:szCs w:val="28"/>
        </w:rPr>
        <w:t xml:space="preserve">stable, </w:t>
      </w:r>
      <w:r w:rsidR="008C462E" w:rsidRPr="00D63DE6">
        <w:rPr>
          <w:rFonts w:eastAsia="Times New Roman" w:cstheme="minorHAnsi"/>
          <w:sz w:val="28"/>
          <w:szCs w:val="28"/>
        </w:rPr>
        <w:t xml:space="preserve">or </w:t>
      </w:r>
      <w:r w:rsidRPr="00D63DE6">
        <w:rPr>
          <w:rFonts w:eastAsia="Times New Roman" w:cstheme="minorHAnsi"/>
          <w:sz w:val="28"/>
          <w:szCs w:val="28"/>
        </w:rPr>
        <w:t xml:space="preserve">profitable to </w:t>
      </w:r>
      <w:r w:rsidR="008C462E" w:rsidRPr="00D63DE6">
        <w:rPr>
          <w:rFonts w:eastAsia="Times New Roman" w:cstheme="minorHAnsi"/>
          <w:sz w:val="28"/>
          <w:szCs w:val="28"/>
        </w:rPr>
        <w:t>merit</w:t>
      </w:r>
      <w:r w:rsidRPr="00D63DE6">
        <w:rPr>
          <w:rFonts w:eastAsia="Times New Roman" w:cstheme="minorHAnsi"/>
          <w:sz w:val="28"/>
          <w:szCs w:val="28"/>
        </w:rPr>
        <w:t xml:space="preserve"> a monetary investment</w:t>
      </w:r>
      <w:r w:rsidR="008C462E" w:rsidRPr="00D63DE6">
        <w:rPr>
          <w:rFonts w:eastAsia="Times New Roman" w:cstheme="minorHAnsi"/>
          <w:sz w:val="28"/>
          <w:szCs w:val="28"/>
        </w:rPr>
        <w:t xml:space="preserve"> (</w:t>
      </w:r>
      <w:r w:rsidR="00D63DE6" w:rsidRPr="00D63DE6">
        <w:rPr>
          <w:rFonts w:eastAsia="Times New Roman" w:cstheme="minorHAnsi"/>
          <w:sz w:val="28"/>
          <w:szCs w:val="28"/>
        </w:rPr>
        <w:t>Zeller et al, 2019</w:t>
      </w:r>
      <w:r w:rsidR="008C462E" w:rsidRPr="00D63DE6">
        <w:rPr>
          <w:rFonts w:eastAsia="Times New Roman" w:cstheme="minorHAnsi"/>
          <w:sz w:val="28"/>
          <w:szCs w:val="28"/>
        </w:rPr>
        <w:t>).</w:t>
      </w:r>
    </w:p>
    <w:p w:rsidR="006A3401" w:rsidRDefault="008176A3" w:rsidP="00FD2FBD">
      <w:pPr>
        <w:rPr>
          <w:rFonts w:eastAsia="Times New Roman" w:cstheme="minorHAnsi"/>
          <w:b/>
          <w:sz w:val="28"/>
          <w:szCs w:val="28"/>
        </w:rPr>
      </w:pPr>
      <w:r w:rsidRPr="008176A3">
        <w:rPr>
          <w:rFonts w:eastAsia="Times New Roman" w:cstheme="minorHAnsi"/>
          <w:b/>
          <w:sz w:val="28"/>
          <w:szCs w:val="28"/>
        </w:rPr>
        <w:t>Horizontal Analysis</w:t>
      </w:r>
    </w:p>
    <w:p w:rsidR="00176680" w:rsidRDefault="001F312F" w:rsidP="00FD2FBD">
      <w:pPr>
        <w:rPr>
          <w:rFonts w:eastAsia="Times New Roman" w:cstheme="minorHAnsi"/>
          <w:b/>
          <w:sz w:val="28"/>
          <w:szCs w:val="28"/>
        </w:rPr>
      </w:pPr>
      <w:r w:rsidRPr="001F312F">
        <w:rPr>
          <w:rFonts w:eastAsia="Times New Roman" w:cstheme="minorHAnsi"/>
          <w:b/>
          <w:sz w:val="28"/>
          <w:szCs w:val="28"/>
        </w:rPr>
        <w:t>Table 1: Marathon Oil Corporation Horizontal analysis</w:t>
      </w:r>
    </w:p>
    <w:p w:rsidR="00005909" w:rsidRPr="006A3401" w:rsidRDefault="006A3401" w:rsidP="006A3401">
      <w:pPr>
        <w:rPr>
          <w:rFonts w:eastAsia="Times New Roman" w:cstheme="minorHAnsi"/>
          <w:sz w:val="28"/>
          <w:szCs w:val="28"/>
        </w:rPr>
      </w:pPr>
      <w:r w:rsidRPr="006A3401">
        <w:rPr>
          <w:noProof/>
        </w:rPr>
        <w:drawing>
          <wp:inline distT="0" distB="0" distL="0" distR="0" wp14:anchorId="3EAD46D4" wp14:editId="1882F6E7">
            <wp:extent cx="6657975" cy="5139974"/>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57975" cy="5139974"/>
                    </a:xfrm>
                    <a:prstGeom prst="rect">
                      <a:avLst/>
                    </a:prstGeom>
                    <a:noFill/>
                    <a:ln>
                      <a:noFill/>
                    </a:ln>
                  </pic:spPr>
                </pic:pic>
              </a:graphicData>
            </a:graphic>
          </wp:inline>
        </w:drawing>
      </w:r>
    </w:p>
    <w:p w:rsidR="00005909" w:rsidRPr="00F05846" w:rsidRDefault="006A3401" w:rsidP="00F05846">
      <w:pPr>
        <w:rPr>
          <w:rFonts w:eastAsia="Times New Roman" w:cstheme="minorHAnsi"/>
          <w:sz w:val="28"/>
          <w:szCs w:val="28"/>
        </w:rPr>
      </w:pPr>
      <w:r w:rsidRPr="00F05846">
        <w:rPr>
          <w:sz w:val="28"/>
          <w:szCs w:val="28"/>
        </w:rPr>
        <w:lastRenderedPageBreak/>
        <w:t xml:space="preserve">The </w:t>
      </w:r>
      <w:r w:rsidR="00F05846" w:rsidRPr="00F05846">
        <w:rPr>
          <w:sz w:val="28"/>
          <w:szCs w:val="28"/>
        </w:rPr>
        <w:t>horizontal analysis</w:t>
      </w:r>
      <w:r w:rsidRPr="00F05846">
        <w:rPr>
          <w:sz w:val="28"/>
          <w:szCs w:val="28"/>
        </w:rPr>
        <w:t xml:space="preserve"> </w:t>
      </w:r>
      <w:r w:rsidR="00F05846" w:rsidRPr="00F05846">
        <w:rPr>
          <w:sz w:val="28"/>
          <w:szCs w:val="28"/>
        </w:rPr>
        <w:t xml:space="preserve">above measures the line of items on the financial statements with the base year (2017) for purposes of finding major divergent items or unexpected outcomes.  The findings show that year 2020 performance had deteriorated significantly compared to the base year. </w:t>
      </w:r>
      <w:r w:rsidR="00E04B12">
        <w:rPr>
          <w:sz w:val="28"/>
          <w:szCs w:val="28"/>
        </w:rPr>
        <w:t xml:space="preserve">Financial </w:t>
      </w:r>
      <w:r w:rsidR="00F05846">
        <w:rPr>
          <w:sz w:val="28"/>
          <w:szCs w:val="28"/>
        </w:rPr>
        <w:t>performances before</w:t>
      </w:r>
      <w:r w:rsidR="00E04B12">
        <w:rPr>
          <w:sz w:val="28"/>
          <w:szCs w:val="28"/>
        </w:rPr>
        <w:t xml:space="preserve"> financial</w:t>
      </w:r>
      <w:r w:rsidR="00F05846">
        <w:rPr>
          <w:sz w:val="28"/>
          <w:szCs w:val="28"/>
        </w:rPr>
        <w:t xml:space="preserve"> year 2020 (pandemic year)</w:t>
      </w:r>
      <w:r w:rsidR="00E04B12">
        <w:rPr>
          <w:sz w:val="28"/>
          <w:szCs w:val="28"/>
        </w:rPr>
        <w:t>,</w:t>
      </w:r>
      <w:r w:rsidR="00F05846">
        <w:rPr>
          <w:sz w:val="28"/>
          <w:szCs w:val="28"/>
        </w:rPr>
        <w:t xml:space="preserve"> </w:t>
      </w:r>
      <w:r w:rsidR="00E04B12">
        <w:rPr>
          <w:sz w:val="28"/>
          <w:szCs w:val="28"/>
        </w:rPr>
        <w:t>shows a</w:t>
      </w:r>
      <w:r w:rsidR="00F05846">
        <w:rPr>
          <w:sz w:val="28"/>
          <w:szCs w:val="28"/>
        </w:rPr>
        <w:t xml:space="preserve"> steady improvement in nearly all</w:t>
      </w:r>
      <w:r w:rsidR="00E04B12" w:rsidRPr="00E04B12">
        <w:t xml:space="preserve"> </w:t>
      </w:r>
      <w:r w:rsidR="00E04B12" w:rsidRPr="00E04B12">
        <w:rPr>
          <w:sz w:val="28"/>
          <w:szCs w:val="28"/>
        </w:rPr>
        <w:t>items</w:t>
      </w:r>
      <w:r w:rsidR="00E04B12">
        <w:rPr>
          <w:sz w:val="28"/>
          <w:szCs w:val="28"/>
        </w:rPr>
        <w:t xml:space="preserve"> on the</w:t>
      </w:r>
      <w:r w:rsidR="00F05846">
        <w:rPr>
          <w:sz w:val="28"/>
          <w:szCs w:val="28"/>
        </w:rPr>
        <w:t xml:space="preserve"> financial statement. </w:t>
      </w:r>
    </w:p>
    <w:p w:rsidR="00005909" w:rsidRDefault="00E04B12" w:rsidP="00FD2FBD">
      <w:pPr>
        <w:rPr>
          <w:rFonts w:eastAsia="Times New Roman" w:cstheme="minorHAnsi"/>
          <w:b/>
          <w:sz w:val="28"/>
          <w:szCs w:val="28"/>
        </w:rPr>
      </w:pPr>
      <w:r w:rsidRPr="00E04B12">
        <w:rPr>
          <w:rFonts w:eastAsia="Times New Roman" w:cstheme="minorHAnsi"/>
          <w:b/>
          <w:sz w:val="28"/>
          <w:szCs w:val="28"/>
        </w:rPr>
        <w:t xml:space="preserve">Vertical analysis </w:t>
      </w:r>
    </w:p>
    <w:p w:rsidR="00176680" w:rsidRPr="00E04B12" w:rsidRDefault="001F312F" w:rsidP="00FD2FBD">
      <w:pPr>
        <w:rPr>
          <w:rFonts w:eastAsia="Times New Roman" w:cstheme="minorHAnsi"/>
          <w:b/>
          <w:sz w:val="28"/>
          <w:szCs w:val="28"/>
        </w:rPr>
      </w:pPr>
      <w:r>
        <w:rPr>
          <w:rFonts w:eastAsia="Times New Roman" w:cstheme="minorHAnsi"/>
          <w:b/>
          <w:sz w:val="28"/>
          <w:szCs w:val="28"/>
        </w:rPr>
        <w:t>Table 2</w:t>
      </w:r>
      <w:r w:rsidR="00176680">
        <w:rPr>
          <w:rFonts w:eastAsia="Times New Roman" w:cstheme="minorHAnsi"/>
          <w:b/>
          <w:sz w:val="28"/>
          <w:szCs w:val="28"/>
        </w:rPr>
        <w:t xml:space="preserve">: </w:t>
      </w:r>
      <w:r w:rsidRPr="001F312F">
        <w:rPr>
          <w:rFonts w:eastAsia="Times New Roman" w:cstheme="minorHAnsi"/>
          <w:b/>
          <w:sz w:val="28"/>
          <w:szCs w:val="28"/>
        </w:rPr>
        <w:t>Marathon Oil Corporation</w:t>
      </w:r>
      <w:r>
        <w:rPr>
          <w:rFonts w:eastAsia="Times New Roman" w:cstheme="minorHAnsi"/>
          <w:b/>
          <w:sz w:val="28"/>
          <w:szCs w:val="28"/>
        </w:rPr>
        <w:t xml:space="preserve"> </w:t>
      </w:r>
      <w:r w:rsidRPr="001F312F">
        <w:rPr>
          <w:rFonts w:eastAsia="Times New Roman" w:cstheme="minorHAnsi"/>
          <w:b/>
          <w:sz w:val="28"/>
          <w:szCs w:val="28"/>
        </w:rPr>
        <w:t>Vertical analysis</w:t>
      </w:r>
    </w:p>
    <w:tbl>
      <w:tblPr>
        <w:tblW w:w="9915" w:type="dxa"/>
        <w:tblInd w:w="93" w:type="dxa"/>
        <w:tblLook w:val="04A0" w:firstRow="1" w:lastRow="0" w:firstColumn="1" w:lastColumn="0" w:noHBand="0" w:noVBand="1"/>
      </w:tblPr>
      <w:tblGrid>
        <w:gridCol w:w="3594"/>
        <w:gridCol w:w="1577"/>
        <w:gridCol w:w="1107"/>
        <w:gridCol w:w="1107"/>
        <w:gridCol w:w="1107"/>
        <w:gridCol w:w="1510"/>
      </w:tblGrid>
      <w:tr w:rsidR="009A7DD2" w:rsidRPr="009A7DD2" w:rsidTr="009A7DD2">
        <w:trPr>
          <w:trHeight w:val="420"/>
        </w:trPr>
        <w:tc>
          <w:tcPr>
            <w:tcW w:w="35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sz w:val="32"/>
                <w:szCs w:val="32"/>
              </w:rPr>
            </w:pPr>
            <w:r w:rsidRPr="009A7DD2">
              <w:rPr>
                <w:rFonts w:ascii="Calibri" w:eastAsia="Times New Roman" w:hAnsi="Calibri" w:cs="Calibri"/>
                <w:color w:val="000000"/>
                <w:sz w:val="32"/>
                <w:szCs w:val="32"/>
              </w:rPr>
              <w:t>All numbers in thousands</w:t>
            </w:r>
          </w:p>
        </w:tc>
        <w:tc>
          <w:tcPr>
            <w:tcW w:w="1577" w:type="dxa"/>
            <w:tcBorders>
              <w:top w:val="single" w:sz="4" w:space="0" w:color="auto"/>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 xml:space="preserve">Estimated  </w:t>
            </w:r>
          </w:p>
        </w:tc>
        <w:tc>
          <w:tcPr>
            <w:tcW w:w="1078" w:type="dxa"/>
            <w:tcBorders>
              <w:top w:val="single" w:sz="4" w:space="0" w:color="auto"/>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2020</w:t>
            </w:r>
          </w:p>
        </w:tc>
        <w:tc>
          <w:tcPr>
            <w:tcW w:w="1078" w:type="dxa"/>
            <w:tcBorders>
              <w:top w:val="single" w:sz="4" w:space="0" w:color="auto"/>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2019</w:t>
            </w:r>
          </w:p>
        </w:tc>
        <w:tc>
          <w:tcPr>
            <w:tcW w:w="1078" w:type="dxa"/>
            <w:tcBorders>
              <w:top w:val="single" w:sz="4" w:space="0" w:color="auto"/>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2018</w:t>
            </w:r>
          </w:p>
        </w:tc>
        <w:tc>
          <w:tcPr>
            <w:tcW w:w="1510" w:type="dxa"/>
            <w:tcBorders>
              <w:top w:val="single" w:sz="4" w:space="0" w:color="auto"/>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2017</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Total Revenue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4,014,000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3,097,000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5,063,000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5,902,000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4,373,000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Cost of Revenue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3,282,000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3,467,000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3,714,000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3,858,000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3,677,000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82</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112</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73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65</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84</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Gross Profit</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732,000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-370,000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1,349,000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2,044,000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696,000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22</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-11</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36</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53</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19</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Operating Expense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692,000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655,000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816,000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982,000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992,000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17</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21</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16</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17</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23</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Operating Income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40,000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-1,025,000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533,000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1,062,000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-296,000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-33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11</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18</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-7</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 xml:space="preserve">Net </w:t>
            </w:r>
            <w:proofErr w:type="spellStart"/>
            <w:r w:rsidRPr="009A7DD2">
              <w:rPr>
                <w:rFonts w:ascii="Calibri" w:eastAsia="Times New Roman" w:hAnsi="Calibri" w:cs="Calibri"/>
                <w:color w:val="000000"/>
              </w:rPr>
              <w:t>Non Operating</w:t>
            </w:r>
            <w:proofErr w:type="spellEnd"/>
            <w:r w:rsidRPr="009A7DD2">
              <w:rPr>
                <w:rFonts w:ascii="Calibri" w:eastAsia="Times New Roman" w:hAnsi="Calibri" w:cs="Calibri"/>
                <w:color w:val="000000"/>
              </w:rPr>
              <w:t xml:space="preserve"> Interest Income Expense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-213,000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-274,000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-255,000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-248,000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-343,000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-5</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-5</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-4</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-8</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Other Income Expense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-345,000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-166,000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114,000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613,000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185,000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-5</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2</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4</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Pretax Income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-518,000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-1,465,000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392,000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1,427,000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-454,000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-47</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8</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24</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Tax Provision</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-88,000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331,000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376,000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Net Income Common Stockholders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-542,000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-1,451,000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480,000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1,096,000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-5,723,000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-14</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-47</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19</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-131</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Diluted NI Available to Com Stockholders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-542,000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-1,451,000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480,000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1,096,000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-5,723,000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Basic EPS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-1.84</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0.6</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1.34</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-6.73</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Diluted EPS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-1.84</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0.5</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1.3</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-6.73</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Basic Average Shares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789,000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796,000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819,000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850,000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Diluted Average Shares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792,000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810,000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847,000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850,000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Total Operating Income as Reported</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-270,000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w:t>
            </w:r>
            <w:r w:rsidRPr="009A7DD2">
              <w:rPr>
                <w:rFonts w:ascii="Calibri" w:eastAsia="Times New Roman" w:hAnsi="Calibri" w:cs="Calibri"/>
                <w:color w:val="000000"/>
              </w:rPr>
              <w:lastRenderedPageBreak/>
              <w:t>1,180,000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lastRenderedPageBreak/>
              <w:t>636,000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1,667,000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-133,000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lastRenderedPageBreak/>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-7</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-38</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13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28</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b/>
                <w:color w:val="000000"/>
              </w:rPr>
            </w:pPr>
            <w:r w:rsidRPr="009A7DD2">
              <w:rPr>
                <w:rFonts w:ascii="Calibri" w:eastAsia="Times New Roman" w:hAnsi="Calibri" w:cs="Calibri"/>
                <w:b/>
                <w:color w:val="000000"/>
              </w:rPr>
              <w:t>-3</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Total Expenses</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3,974,000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4,122,000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4,530,000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4,840,000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4,669,000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99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133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89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82</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107</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Interest Income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32,000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34,000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 </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Interest Expense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279,000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280,000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280,000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377,000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 </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9</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6</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9</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Net Interest Income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-213,000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-274,000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-255,000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-248,000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-343,000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Net Income from Continuing &amp; Discontinued Operation</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-542,000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-1,451,000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480,000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1,096,000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-5,723,000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Normalized Income</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-265,400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-1,416,350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512,850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911,970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-733,400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color w:val="000000"/>
              </w:rPr>
            </w:pPr>
            <w:r w:rsidRPr="009A7DD2">
              <w:rPr>
                <w:rFonts w:ascii="Calibri" w:eastAsia="Times New Roman" w:hAnsi="Calibri" w:cs="Calibri"/>
                <w:color w:val="000000"/>
              </w:rPr>
              <w:t>EBIT</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-121,000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-1,186,000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672,000</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1,707,000</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-77,000</w:t>
            </w:r>
          </w:p>
        </w:tc>
      </w:tr>
      <w:tr w:rsidR="009A7DD2" w:rsidRPr="009A7DD2" w:rsidTr="009A7DD2">
        <w:trPr>
          <w:trHeight w:val="300"/>
        </w:trPr>
        <w:tc>
          <w:tcPr>
            <w:tcW w:w="3594" w:type="dxa"/>
            <w:tcBorders>
              <w:top w:val="nil"/>
              <w:left w:val="single" w:sz="4" w:space="0" w:color="auto"/>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rPr>
                <w:rFonts w:ascii="Calibri" w:eastAsia="Times New Roman" w:hAnsi="Calibri" w:cs="Calibri"/>
                <w:b/>
                <w:bCs/>
                <w:color w:val="000000"/>
              </w:rPr>
            </w:pPr>
            <w:r w:rsidRPr="009A7DD2">
              <w:rPr>
                <w:rFonts w:ascii="Calibri" w:eastAsia="Times New Roman" w:hAnsi="Calibri" w:cs="Calibri"/>
                <w:b/>
                <w:bCs/>
                <w:color w:val="000000"/>
              </w:rPr>
              <w:t>Proportional change (%)</w:t>
            </w:r>
          </w:p>
        </w:tc>
        <w:tc>
          <w:tcPr>
            <w:tcW w:w="1577"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-38</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13</w:t>
            </w:r>
          </w:p>
        </w:tc>
        <w:tc>
          <w:tcPr>
            <w:tcW w:w="1078"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29</w:t>
            </w:r>
          </w:p>
        </w:tc>
        <w:tc>
          <w:tcPr>
            <w:tcW w:w="1510" w:type="dxa"/>
            <w:tcBorders>
              <w:top w:val="nil"/>
              <w:left w:val="nil"/>
              <w:bottom w:val="single" w:sz="4" w:space="0" w:color="auto"/>
              <w:right w:val="single" w:sz="4" w:space="0" w:color="auto"/>
            </w:tcBorders>
            <w:shd w:val="clear" w:color="auto" w:fill="auto"/>
            <w:noWrap/>
            <w:vAlign w:val="bottom"/>
            <w:hideMark/>
          </w:tcPr>
          <w:p w:rsidR="009A7DD2" w:rsidRPr="009A7DD2" w:rsidRDefault="009A7DD2" w:rsidP="009A7DD2">
            <w:pPr>
              <w:spacing w:after="0" w:line="240" w:lineRule="auto"/>
              <w:jc w:val="center"/>
              <w:rPr>
                <w:rFonts w:ascii="Calibri" w:eastAsia="Times New Roman" w:hAnsi="Calibri" w:cs="Calibri"/>
                <w:color w:val="000000"/>
              </w:rPr>
            </w:pPr>
            <w:r w:rsidRPr="009A7DD2">
              <w:rPr>
                <w:rFonts w:ascii="Calibri" w:eastAsia="Times New Roman" w:hAnsi="Calibri" w:cs="Calibri"/>
                <w:color w:val="000000"/>
              </w:rPr>
              <w:t>-2</w:t>
            </w:r>
          </w:p>
        </w:tc>
      </w:tr>
    </w:tbl>
    <w:p w:rsidR="00005909" w:rsidRDefault="00005909" w:rsidP="00FD2FBD">
      <w:pPr>
        <w:rPr>
          <w:rFonts w:eastAsia="Times New Roman" w:cstheme="minorHAnsi"/>
          <w:sz w:val="28"/>
          <w:szCs w:val="28"/>
        </w:rPr>
      </w:pPr>
    </w:p>
    <w:p w:rsidR="00005909" w:rsidRDefault="009A7DD2" w:rsidP="00FD2FBD">
      <w:pPr>
        <w:rPr>
          <w:rFonts w:eastAsia="Times New Roman" w:cstheme="minorHAnsi"/>
          <w:sz w:val="28"/>
          <w:szCs w:val="28"/>
        </w:rPr>
      </w:pPr>
      <w:r w:rsidRPr="009A7DD2">
        <w:rPr>
          <w:rFonts w:eastAsia="Times New Roman" w:cstheme="minorHAnsi"/>
          <w:sz w:val="28"/>
          <w:szCs w:val="28"/>
        </w:rPr>
        <w:t>Cost of Revenue</w:t>
      </w:r>
      <w:r>
        <w:rPr>
          <w:rFonts w:eastAsia="Times New Roman" w:cstheme="minorHAnsi"/>
          <w:sz w:val="28"/>
          <w:szCs w:val="28"/>
        </w:rPr>
        <w:t xml:space="preserve"> increased in FY due to challenges of supply chain caused by the pandemic and generally, the performance was same for most other items in the financial statement. </w:t>
      </w:r>
      <w:r w:rsidRPr="009A7DD2">
        <w:rPr>
          <w:rFonts w:eastAsia="Times New Roman" w:cstheme="minorHAnsi"/>
          <w:sz w:val="28"/>
          <w:szCs w:val="28"/>
        </w:rPr>
        <w:t>Cost of Revenue</w:t>
      </w:r>
      <w:r>
        <w:rPr>
          <w:rFonts w:eastAsia="Times New Roman" w:cstheme="minorHAnsi"/>
          <w:sz w:val="28"/>
          <w:szCs w:val="28"/>
        </w:rPr>
        <w:t xml:space="preserve"> has been increasing for FYs 2018, 2019, and 2020 due to challenges of the oil industry where there was low demand and the industry could not scale down fixed costs in the production process. This is also reflected in the decline in gross profits.  The operating e</w:t>
      </w:r>
      <w:r w:rsidRPr="009A7DD2">
        <w:rPr>
          <w:rFonts w:eastAsia="Times New Roman" w:cstheme="minorHAnsi"/>
          <w:sz w:val="28"/>
          <w:szCs w:val="28"/>
        </w:rPr>
        <w:t>xpense</w:t>
      </w:r>
      <w:r>
        <w:rPr>
          <w:rFonts w:eastAsia="Times New Roman" w:cstheme="minorHAnsi"/>
          <w:sz w:val="28"/>
          <w:szCs w:val="28"/>
        </w:rPr>
        <w:t>s remained steady at about 20% over 2018-2020 which shows inability of the company to reduce operating expenses even as the revenues and gross profits was on the decline.</w:t>
      </w:r>
      <w:r w:rsidR="000165D4">
        <w:rPr>
          <w:rFonts w:eastAsia="Times New Roman" w:cstheme="minorHAnsi"/>
          <w:sz w:val="28"/>
          <w:szCs w:val="28"/>
        </w:rPr>
        <w:t xml:space="preserve"> There was a significant deterioration of performance in FY</w:t>
      </w:r>
      <w:r>
        <w:rPr>
          <w:rFonts w:eastAsia="Times New Roman" w:cstheme="minorHAnsi"/>
          <w:sz w:val="28"/>
          <w:szCs w:val="28"/>
        </w:rPr>
        <w:t xml:space="preserve"> </w:t>
      </w:r>
      <w:r w:rsidR="000165D4" w:rsidRPr="000165D4">
        <w:rPr>
          <w:rFonts w:eastAsia="Times New Roman" w:cstheme="minorHAnsi"/>
          <w:sz w:val="28"/>
          <w:szCs w:val="28"/>
        </w:rPr>
        <w:t>2019</w:t>
      </w:r>
      <w:r w:rsidR="000165D4">
        <w:rPr>
          <w:rFonts w:eastAsia="Times New Roman" w:cstheme="minorHAnsi"/>
          <w:sz w:val="28"/>
          <w:szCs w:val="28"/>
        </w:rPr>
        <w:t xml:space="preserve"> (gross profits, operating income) because of the low prices in the global market @ </w:t>
      </w:r>
      <w:r w:rsidR="000165D4" w:rsidRPr="000165D4">
        <w:rPr>
          <w:rFonts w:eastAsia="Times New Roman" w:cstheme="minorHAnsi"/>
          <w:sz w:val="28"/>
          <w:szCs w:val="28"/>
        </w:rPr>
        <w:t>$56.99</w:t>
      </w:r>
      <w:r w:rsidR="000165D4">
        <w:rPr>
          <w:rFonts w:eastAsia="Times New Roman" w:cstheme="minorHAnsi"/>
          <w:sz w:val="28"/>
          <w:szCs w:val="28"/>
        </w:rPr>
        <w:t xml:space="preserve"> per barrel compared to </w:t>
      </w:r>
      <w:r w:rsidR="000165D4" w:rsidRPr="000165D4">
        <w:rPr>
          <w:rFonts w:eastAsia="Times New Roman" w:cstheme="minorHAnsi"/>
          <w:sz w:val="28"/>
          <w:szCs w:val="28"/>
        </w:rPr>
        <w:t>$65.23</w:t>
      </w:r>
      <w:r w:rsidR="000165D4">
        <w:rPr>
          <w:rFonts w:eastAsia="Times New Roman" w:cstheme="minorHAnsi"/>
          <w:sz w:val="28"/>
          <w:szCs w:val="28"/>
        </w:rPr>
        <w:t xml:space="preserve"> in 2018. Basically, the fluctuations in financial performance echo the prices of oil in the market. </w:t>
      </w:r>
    </w:p>
    <w:p w:rsidR="00005909" w:rsidRPr="00B25C18" w:rsidRDefault="00B25C18" w:rsidP="00FD2FBD">
      <w:pPr>
        <w:rPr>
          <w:rFonts w:eastAsia="Times New Roman" w:cstheme="minorHAnsi"/>
          <w:b/>
          <w:sz w:val="28"/>
          <w:szCs w:val="28"/>
        </w:rPr>
      </w:pPr>
      <w:r w:rsidRPr="00B25C18">
        <w:rPr>
          <w:rFonts w:eastAsia="Times New Roman" w:cstheme="minorHAnsi"/>
          <w:b/>
          <w:sz w:val="28"/>
          <w:szCs w:val="28"/>
        </w:rPr>
        <w:t>Trend Analysis</w:t>
      </w:r>
    </w:p>
    <w:p w:rsidR="000165D4" w:rsidRDefault="00176680" w:rsidP="00FD2FBD">
      <w:pPr>
        <w:rPr>
          <w:rFonts w:eastAsia="Times New Roman" w:cstheme="minorHAnsi"/>
          <w:sz w:val="28"/>
          <w:szCs w:val="28"/>
        </w:rPr>
      </w:pPr>
      <w:r>
        <w:rPr>
          <w:rFonts w:eastAsia="Times New Roman" w:cstheme="minorHAnsi"/>
          <w:sz w:val="28"/>
          <w:szCs w:val="28"/>
        </w:rPr>
        <w:t>This trend analysis</w:t>
      </w:r>
      <w:r w:rsidR="00B25C18">
        <w:rPr>
          <w:rFonts w:eastAsia="Times New Roman" w:cstheme="minorHAnsi"/>
          <w:sz w:val="28"/>
          <w:szCs w:val="28"/>
        </w:rPr>
        <w:t xml:space="preserve"> shows revenues and net income </w:t>
      </w:r>
      <w:r>
        <w:rPr>
          <w:rFonts w:eastAsia="Times New Roman" w:cstheme="minorHAnsi"/>
          <w:sz w:val="28"/>
          <w:szCs w:val="28"/>
        </w:rPr>
        <w:t>for Marathon</w:t>
      </w:r>
      <w:r w:rsidR="00B25C18" w:rsidRPr="00B25C18">
        <w:rPr>
          <w:rFonts w:eastAsia="Times New Roman" w:cstheme="minorHAnsi"/>
          <w:sz w:val="28"/>
          <w:szCs w:val="28"/>
        </w:rPr>
        <w:t xml:space="preserve"> Oil Corporation</w:t>
      </w:r>
      <w:r w:rsidR="00B25C18">
        <w:rPr>
          <w:rFonts w:eastAsia="Times New Roman" w:cstheme="minorHAnsi"/>
          <w:sz w:val="28"/>
          <w:szCs w:val="28"/>
        </w:rPr>
        <w:t xml:space="preserve"> over selected period. </w:t>
      </w:r>
      <w:r>
        <w:rPr>
          <w:rFonts w:eastAsia="Times New Roman" w:cstheme="minorHAnsi"/>
          <w:sz w:val="28"/>
          <w:szCs w:val="28"/>
        </w:rPr>
        <w:t xml:space="preserve"> </w:t>
      </w:r>
      <w:r w:rsidR="001F312F">
        <w:rPr>
          <w:rFonts w:eastAsia="Times New Roman" w:cstheme="minorHAnsi"/>
          <w:sz w:val="28"/>
          <w:szCs w:val="28"/>
        </w:rPr>
        <w:t xml:space="preserve">The graph below shows a steady rise in revenue, gross profits, and net income up to 2018 and then took a steep downward move to 2020.  This can be attributed to the downward prices in the world market due to </w:t>
      </w:r>
      <w:r w:rsidR="001F312F">
        <w:rPr>
          <w:rFonts w:eastAsia="Times New Roman" w:cstheme="minorHAnsi"/>
          <w:sz w:val="28"/>
          <w:szCs w:val="28"/>
        </w:rPr>
        <w:lastRenderedPageBreak/>
        <w:t xml:space="preserve">reduced demand. This coincides with the US-China trade tensions which caused instability and slowdown in the global economy. </w:t>
      </w:r>
    </w:p>
    <w:p w:rsidR="00176680" w:rsidRDefault="00176680" w:rsidP="00FD2FBD">
      <w:pPr>
        <w:rPr>
          <w:rFonts w:eastAsia="Times New Roman" w:cstheme="minorHAnsi"/>
          <w:sz w:val="28"/>
          <w:szCs w:val="28"/>
        </w:rPr>
      </w:pPr>
      <w:r>
        <w:rPr>
          <w:rFonts w:eastAsia="Times New Roman" w:cstheme="minorHAnsi"/>
          <w:sz w:val="28"/>
          <w:szCs w:val="28"/>
        </w:rPr>
        <w:t xml:space="preserve">Graph </w:t>
      </w:r>
      <w:r w:rsidR="001F312F">
        <w:rPr>
          <w:rFonts w:eastAsia="Times New Roman" w:cstheme="minorHAnsi"/>
          <w:sz w:val="28"/>
          <w:szCs w:val="28"/>
        </w:rPr>
        <w:t xml:space="preserve">1: </w:t>
      </w:r>
      <w:r w:rsidR="001F312F" w:rsidRPr="001F312F">
        <w:rPr>
          <w:rFonts w:eastAsia="Times New Roman" w:cstheme="minorHAnsi"/>
          <w:sz w:val="28"/>
          <w:szCs w:val="28"/>
        </w:rPr>
        <w:t>Marathon Oil Corporation</w:t>
      </w:r>
      <w:r w:rsidR="001F312F">
        <w:rPr>
          <w:rFonts w:eastAsia="Times New Roman" w:cstheme="minorHAnsi"/>
          <w:sz w:val="28"/>
          <w:szCs w:val="28"/>
        </w:rPr>
        <w:t xml:space="preserve"> assorted performance </w:t>
      </w:r>
    </w:p>
    <w:p w:rsidR="000165D4" w:rsidRDefault="00176680" w:rsidP="00FD2FBD">
      <w:pPr>
        <w:rPr>
          <w:rFonts w:eastAsia="Times New Roman" w:cstheme="minorHAnsi"/>
          <w:sz w:val="28"/>
          <w:szCs w:val="28"/>
        </w:rPr>
      </w:pPr>
      <w:r>
        <w:rPr>
          <w:noProof/>
        </w:rPr>
        <w:drawing>
          <wp:inline distT="0" distB="0" distL="0" distR="0" wp14:anchorId="26608CA8" wp14:editId="79403FDD">
            <wp:extent cx="5495925" cy="3476626"/>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165D4" w:rsidRDefault="000165D4" w:rsidP="00FD2FBD">
      <w:pPr>
        <w:rPr>
          <w:rFonts w:eastAsia="Times New Roman" w:cstheme="minorHAnsi"/>
          <w:sz w:val="28"/>
          <w:szCs w:val="28"/>
        </w:rPr>
      </w:pPr>
    </w:p>
    <w:p w:rsidR="001F312F" w:rsidRPr="00B76538" w:rsidRDefault="00B76538" w:rsidP="00FD2FBD">
      <w:pPr>
        <w:rPr>
          <w:rFonts w:eastAsia="Times New Roman" w:cstheme="minorHAnsi"/>
          <w:b/>
          <w:sz w:val="28"/>
          <w:szCs w:val="28"/>
        </w:rPr>
      </w:pPr>
      <w:r w:rsidRPr="00B76538">
        <w:rPr>
          <w:rFonts w:eastAsia="Times New Roman" w:cstheme="minorHAnsi"/>
          <w:b/>
          <w:sz w:val="28"/>
          <w:szCs w:val="28"/>
        </w:rPr>
        <w:t xml:space="preserve">Financial ratios </w:t>
      </w:r>
    </w:p>
    <w:p w:rsidR="00B76538" w:rsidRDefault="00B64A7D" w:rsidP="00FD2FBD">
      <w:pPr>
        <w:rPr>
          <w:rFonts w:eastAsia="Times New Roman" w:cstheme="minorHAnsi"/>
          <w:sz w:val="28"/>
          <w:szCs w:val="28"/>
        </w:rPr>
      </w:pPr>
      <w:r>
        <w:rPr>
          <w:rFonts w:eastAsia="Times New Roman" w:cstheme="minorHAnsi"/>
          <w:sz w:val="28"/>
          <w:szCs w:val="28"/>
        </w:rPr>
        <w:t xml:space="preserve">The financial ratios helps to determine </w:t>
      </w:r>
      <w:r w:rsidRPr="00B64A7D">
        <w:rPr>
          <w:rFonts w:eastAsia="Times New Roman" w:cstheme="minorHAnsi"/>
          <w:sz w:val="28"/>
          <w:szCs w:val="28"/>
        </w:rPr>
        <w:t xml:space="preserve">whether an organization is adequately solvent, liquid, stable, or profitable </w:t>
      </w:r>
      <w:r>
        <w:rPr>
          <w:rFonts w:eastAsia="Times New Roman" w:cstheme="minorHAnsi"/>
          <w:sz w:val="28"/>
          <w:szCs w:val="28"/>
        </w:rPr>
        <w:t>(</w:t>
      </w:r>
      <w:r w:rsidR="00D63DE6" w:rsidRPr="00D63DE6">
        <w:rPr>
          <w:rFonts w:eastAsia="Times New Roman" w:cstheme="minorHAnsi"/>
          <w:sz w:val="28"/>
          <w:szCs w:val="28"/>
        </w:rPr>
        <w:t>Zeller et al, 2019</w:t>
      </w:r>
      <w:r w:rsidRPr="00D63DE6">
        <w:rPr>
          <w:rFonts w:eastAsia="Times New Roman" w:cstheme="minorHAnsi"/>
          <w:sz w:val="28"/>
          <w:szCs w:val="28"/>
        </w:rPr>
        <w:t xml:space="preserve">). </w:t>
      </w:r>
      <w:r w:rsidR="0003377C" w:rsidRPr="00D63DE6">
        <w:rPr>
          <w:rFonts w:eastAsia="Times New Roman" w:cstheme="minorHAnsi"/>
          <w:sz w:val="28"/>
          <w:szCs w:val="28"/>
        </w:rPr>
        <w:t xml:space="preserve">Table </w:t>
      </w:r>
      <w:r w:rsidR="0003377C">
        <w:rPr>
          <w:rFonts w:eastAsia="Times New Roman" w:cstheme="minorHAnsi"/>
          <w:sz w:val="28"/>
          <w:szCs w:val="28"/>
        </w:rPr>
        <w:t xml:space="preserve">2 below captures assorted ratios for </w:t>
      </w:r>
      <w:r w:rsidR="0003377C" w:rsidRPr="0003377C">
        <w:rPr>
          <w:rFonts w:eastAsia="Times New Roman" w:cstheme="minorHAnsi"/>
          <w:sz w:val="28"/>
          <w:szCs w:val="28"/>
        </w:rPr>
        <w:t>Marathon Oil Corporation</w:t>
      </w:r>
      <w:r w:rsidR="0003377C">
        <w:rPr>
          <w:rFonts w:eastAsia="Times New Roman" w:cstheme="minorHAnsi"/>
          <w:sz w:val="28"/>
          <w:szCs w:val="28"/>
        </w:rPr>
        <w:t xml:space="preserve">. </w:t>
      </w:r>
    </w:p>
    <w:p w:rsidR="0003377C" w:rsidRDefault="0003377C" w:rsidP="00FD2FBD">
      <w:pPr>
        <w:rPr>
          <w:rFonts w:eastAsia="Times New Roman" w:cstheme="minorHAnsi"/>
          <w:sz w:val="28"/>
          <w:szCs w:val="28"/>
        </w:rPr>
      </w:pPr>
      <w:r>
        <w:rPr>
          <w:rFonts w:eastAsia="Times New Roman" w:cstheme="minorHAnsi"/>
          <w:sz w:val="28"/>
          <w:szCs w:val="28"/>
        </w:rPr>
        <w:t xml:space="preserve">Table 3: Assorted </w:t>
      </w:r>
      <w:r w:rsidRPr="0003377C">
        <w:rPr>
          <w:rFonts w:eastAsia="Times New Roman" w:cstheme="minorHAnsi"/>
          <w:sz w:val="28"/>
          <w:szCs w:val="28"/>
        </w:rPr>
        <w:t xml:space="preserve">financial ratios </w:t>
      </w:r>
      <w:r>
        <w:rPr>
          <w:rFonts w:eastAsia="Times New Roman" w:cstheme="minorHAnsi"/>
          <w:sz w:val="28"/>
          <w:szCs w:val="28"/>
        </w:rPr>
        <w:t xml:space="preserve"> </w:t>
      </w:r>
    </w:p>
    <w:tbl>
      <w:tblPr>
        <w:tblW w:w="7700" w:type="dxa"/>
        <w:tblInd w:w="93" w:type="dxa"/>
        <w:tblLook w:val="04A0" w:firstRow="1" w:lastRow="0" w:firstColumn="1" w:lastColumn="0" w:noHBand="0" w:noVBand="1"/>
      </w:tblPr>
      <w:tblGrid>
        <w:gridCol w:w="1940"/>
        <w:gridCol w:w="960"/>
        <w:gridCol w:w="960"/>
        <w:gridCol w:w="960"/>
        <w:gridCol w:w="987"/>
        <w:gridCol w:w="960"/>
        <w:gridCol w:w="960"/>
      </w:tblGrid>
      <w:tr w:rsidR="00B64A7D" w:rsidRPr="00B64A7D" w:rsidTr="00B64A7D">
        <w:trPr>
          <w:trHeight w:val="300"/>
        </w:trPr>
        <w:tc>
          <w:tcPr>
            <w:tcW w:w="2900" w:type="dxa"/>
            <w:gridSpan w:val="2"/>
            <w:tcBorders>
              <w:top w:val="nil"/>
              <w:left w:val="nil"/>
              <w:bottom w:val="nil"/>
              <w:right w:val="nil"/>
            </w:tcBorders>
            <w:shd w:val="clear" w:color="auto" w:fill="auto"/>
            <w:noWrap/>
            <w:vAlign w:val="bottom"/>
            <w:hideMark/>
          </w:tcPr>
          <w:p w:rsidR="00B64A7D" w:rsidRPr="00B64A7D" w:rsidRDefault="00B64A7D" w:rsidP="00B64A7D">
            <w:pPr>
              <w:spacing w:after="0" w:line="240" w:lineRule="auto"/>
              <w:rPr>
                <w:rFonts w:ascii="Calibri" w:eastAsia="Times New Roman" w:hAnsi="Calibri" w:cs="Calibri"/>
                <w:color w:val="000000"/>
              </w:rPr>
            </w:pPr>
            <w:r w:rsidRPr="00B64A7D">
              <w:rPr>
                <w:rFonts w:ascii="Calibri" w:eastAsia="Times New Roman" w:hAnsi="Calibri" w:cs="Calibri"/>
                <w:color w:val="000000"/>
              </w:rPr>
              <w:t xml:space="preserve">In million apart from ratios </w:t>
            </w:r>
          </w:p>
        </w:tc>
        <w:tc>
          <w:tcPr>
            <w:tcW w:w="960" w:type="dxa"/>
            <w:tcBorders>
              <w:top w:val="nil"/>
              <w:left w:val="nil"/>
              <w:bottom w:val="nil"/>
              <w:right w:val="nil"/>
            </w:tcBorders>
            <w:shd w:val="clear" w:color="auto" w:fill="auto"/>
            <w:noWrap/>
            <w:vAlign w:val="bottom"/>
            <w:hideMark/>
          </w:tcPr>
          <w:p w:rsidR="00B64A7D" w:rsidRPr="00B64A7D" w:rsidRDefault="00B64A7D" w:rsidP="00B64A7D">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B64A7D" w:rsidRPr="00B64A7D" w:rsidRDefault="00B64A7D" w:rsidP="00B64A7D">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B64A7D" w:rsidRPr="00B64A7D" w:rsidRDefault="00B64A7D" w:rsidP="00B64A7D">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B64A7D" w:rsidRPr="00B64A7D" w:rsidRDefault="00B64A7D" w:rsidP="00B64A7D">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B64A7D" w:rsidRPr="00B64A7D" w:rsidRDefault="00B64A7D" w:rsidP="00B64A7D">
            <w:pPr>
              <w:spacing w:after="0" w:line="240" w:lineRule="auto"/>
              <w:rPr>
                <w:rFonts w:ascii="Calibri" w:eastAsia="Times New Roman" w:hAnsi="Calibri" w:cs="Calibri"/>
                <w:color w:val="000000"/>
              </w:rPr>
            </w:pPr>
          </w:p>
        </w:tc>
      </w:tr>
      <w:tr w:rsidR="00B64A7D" w:rsidRPr="00B64A7D" w:rsidTr="00B64A7D">
        <w:trPr>
          <w:trHeight w:val="330"/>
        </w:trPr>
        <w:tc>
          <w:tcPr>
            <w:tcW w:w="19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Year</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2020</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2019</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2018</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2017</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2016</w:t>
            </w:r>
          </w:p>
        </w:tc>
        <w:tc>
          <w:tcPr>
            <w:tcW w:w="960" w:type="dxa"/>
            <w:tcBorders>
              <w:top w:val="single" w:sz="4" w:space="0" w:color="auto"/>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2015</w:t>
            </w:r>
          </w:p>
        </w:tc>
      </w:tr>
      <w:tr w:rsidR="00B64A7D" w:rsidRPr="00B64A7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b/>
                <w:bCs/>
                <w:color w:val="000000"/>
              </w:rPr>
            </w:pPr>
            <w:r w:rsidRPr="00B64A7D">
              <w:rPr>
                <w:rFonts w:ascii="Segoe UI" w:eastAsia="Times New Roman" w:hAnsi="Segoe UI" w:cs="Segoe UI"/>
                <w:b/>
                <w:bCs/>
                <w:color w:val="000000"/>
              </w:rPr>
              <w:t xml:space="preserve">Market Capitalization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5,265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10,863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11,920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14,385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14,665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b/>
                <w:bCs/>
                <w:color w:val="000000"/>
              </w:rPr>
            </w:pPr>
            <w:r w:rsidRPr="00B64A7D">
              <w:rPr>
                <w:rFonts w:ascii="Segoe UI" w:eastAsia="Times New Roman" w:hAnsi="Segoe UI" w:cs="Segoe UI"/>
                <w:b/>
                <w:bCs/>
                <w:color w:val="000000"/>
              </w:rPr>
              <w:t>8,527</w:t>
            </w:r>
          </w:p>
        </w:tc>
      </w:tr>
      <w:tr w:rsidR="00B64A7D" w:rsidRPr="00B64A7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Market Cap Growth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-51.53%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-8.87%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-17.13%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-1.91%</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71.99%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-55.34%</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Enterprise Value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9,927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15,506</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15,957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18,568</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19,444</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14,583</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lastRenderedPageBreak/>
              <w:t xml:space="preserve">PE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-3.63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22.63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10.88</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-2.51</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-6.85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-3.87</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PS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1.71</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2.09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1.81</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3.02</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3.87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1.72</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PB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0.89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0.98</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1.23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0.84</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0.46</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P/FCF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40.5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54.59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24.78</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1027.49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-48.4</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-4.47</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P/OCF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3.57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3.95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3.69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7.24</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16.28</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5.41</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EV/Sales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3.26</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2.93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2.41</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4</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5.28</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3.07</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EV/EBITDA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9.08</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5.01</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3.87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-7.05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15.73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233.92</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EV/EBIT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-8.31</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23.9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9.59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-3.76</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-22.59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-5.72</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EV/FCF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77.32</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76.39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32.96</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1362.7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-65.97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-7.96</w:t>
            </w:r>
          </w:p>
        </w:tc>
      </w:tr>
      <w:tr w:rsidR="00B64A7D" w:rsidRPr="00B64A7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Debt / Equity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0.51</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0.45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0.45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0.47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0.41</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0.39</w:t>
            </w:r>
          </w:p>
        </w:tc>
      </w:tr>
      <w:tr w:rsidR="00B64A7D" w:rsidRPr="00B64A7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Debt / EBITDA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4.88</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1.81</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1.34</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-2.03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5.72</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111.95</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Debt / FCF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41.57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27.64</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11.43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392.43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-23.98</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-3.81</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Current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1.33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1.22</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1.59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1.64</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1.5</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Quick acid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 xml:space="preserve">       1.23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 xml:space="preserve">       1.13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 xml:space="preserve">       1.39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 xml:space="preserve">       1.22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 xml:space="preserve">       1.44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 xml:space="preserve">       1.23 </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Asset Turnover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0.17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0.25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0.2</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0.12</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0.14</w:t>
            </w:r>
          </w:p>
        </w:tc>
      </w:tr>
      <w:tr w:rsidR="00B64A7D" w:rsidRPr="00B64A7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Return on Equity (ROE)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-13.00%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3.90%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9.10%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-47.20%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-11.40%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-11.20%</w:t>
            </w:r>
          </w:p>
        </w:tc>
      </w:tr>
      <w:tr w:rsidR="00B64A7D" w:rsidRPr="00B64A7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Return on Assets (ROA)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-7.70%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2.30%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5.10%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-24.40%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-6.60%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-6.40%</w:t>
            </w:r>
          </w:p>
        </w:tc>
      </w:tr>
      <w:tr w:rsidR="00B64A7D" w:rsidRPr="00B64A7D" w:rsidTr="00B64A7D">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rPr>
                <w:rFonts w:ascii="Calibri" w:eastAsia="Times New Roman" w:hAnsi="Calibri" w:cs="Calibri"/>
                <w:color w:val="000000"/>
              </w:rPr>
            </w:pPr>
            <w:r w:rsidRPr="00B64A7D">
              <w:rPr>
                <w:rFonts w:ascii="Calibri" w:eastAsia="Times New Roman" w:hAnsi="Calibri" w:cs="Calibri"/>
                <w:color w:val="000000"/>
              </w:rPr>
              <w:t xml:space="preserve">Profit Margin </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-47.02%</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9.25%</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16.65%</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-120.10%</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-56.51%</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-44.50%</w:t>
            </w:r>
          </w:p>
        </w:tc>
      </w:tr>
      <w:tr w:rsidR="00B64A7D" w:rsidRPr="00B64A7D" w:rsidTr="00B64A7D">
        <w:trPr>
          <w:trHeight w:val="300"/>
        </w:trPr>
        <w:tc>
          <w:tcPr>
            <w:tcW w:w="1940" w:type="dxa"/>
            <w:tcBorders>
              <w:top w:val="nil"/>
              <w:left w:val="single" w:sz="4" w:space="0" w:color="auto"/>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rPr>
                <w:rFonts w:ascii="Calibri" w:eastAsia="Times New Roman" w:hAnsi="Calibri" w:cs="Calibri"/>
                <w:color w:val="000000"/>
              </w:rPr>
            </w:pPr>
            <w:r w:rsidRPr="00B64A7D">
              <w:rPr>
                <w:rFonts w:ascii="Calibri" w:eastAsia="Times New Roman" w:hAnsi="Calibri" w:cs="Calibri"/>
                <w:color w:val="000000"/>
              </w:rPr>
              <w:t xml:space="preserve">Gross Margin </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62.70%</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74.62%</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78.47%</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72.40%</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61.74%</w:t>
            </w:r>
          </w:p>
        </w:tc>
        <w:tc>
          <w:tcPr>
            <w:tcW w:w="960" w:type="dxa"/>
            <w:tcBorders>
              <w:top w:val="nil"/>
              <w:left w:val="nil"/>
              <w:bottom w:val="single" w:sz="4" w:space="0" w:color="auto"/>
              <w:right w:val="single" w:sz="4" w:space="0" w:color="auto"/>
            </w:tcBorders>
            <w:shd w:val="clear" w:color="auto" w:fill="auto"/>
            <w:noWrap/>
            <w:vAlign w:val="bottom"/>
            <w:hideMark/>
          </w:tcPr>
          <w:p w:rsidR="00B64A7D" w:rsidRPr="00B64A7D" w:rsidRDefault="00B64A7D" w:rsidP="00B64A7D">
            <w:pPr>
              <w:spacing w:after="0" w:line="240" w:lineRule="auto"/>
              <w:jc w:val="center"/>
              <w:rPr>
                <w:rFonts w:ascii="Calibri" w:eastAsia="Times New Roman" w:hAnsi="Calibri" w:cs="Calibri"/>
                <w:color w:val="000000"/>
              </w:rPr>
            </w:pPr>
            <w:r w:rsidRPr="00B64A7D">
              <w:rPr>
                <w:rFonts w:ascii="Calibri" w:eastAsia="Times New Roman" w:hAnsi="Calibri" w:cs="Calibri"/>
                <w:color w:val="000000"/>
              </w:rPr>
              <w:t>61.86%</w:t>
            </w:r>
          </w:p>
        </w:tc>
      </w:tr>
      <w:tr w:rsidR="00B64A7D" w:rsidRPr="00B64A7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Return on Capital (ROIC)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-5.50%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2.80%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7.00%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-19.60%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-2.50%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-7.10%</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Earnings Yield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-27.56%</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4.42%</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9.19%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-39.79%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-14.59%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-25.85%</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FCF Yield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2.47%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1.83%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4.04%</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0.10%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-2.07%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-22.39%</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Dividend Yield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1.20%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1.49%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1.42%</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1.18%</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1.12%</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5.40%</w:t>
            </w:r>
          </w:p>
        </w:tc>
      </w:tr>
      <w:tr w:rsidR="00B64A7D" w:rsidRPr="00B64A7D" w:rsidTr="00B64A7D">
        <w:trPr>
          <w:trHeight w:val="33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Payout Ratio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-4.40%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33.90%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15.40%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-3.00%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-7.70%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-20.90%</w:t>
            </w:r>
          </w:p>
        </w:tc>
      </w:tr>
      <w:tr w:rsidR="00B64A7D" w:rsidRPr="00B64A7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Buyback Yield / Dilution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2.22%</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4.37%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0.35%</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-3.79%</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-20.97%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0.88%</w:t>
            </w:r>
          </w:p>
        </w:tc>
      </w:tr>
      <w:tr w:rsidR="00B64A7D" w:rsidRPr="00B64A7D" w:rsidTr="00B64A7D">
        <w:trPr>
          <w:trHeight w:val="660"/>
        </w:trPr>
        <w:tc>
          <w:tcPr>
            <w:tcW w:w="1940" w:type="dxa"/>
            <w:tcBorders>
              <w:top w:val="nil"/>
              <w:left w:val="single" w:sz="4" w:space="0" w:color="auto"/>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rPr>
                <w:rFonts w:ascii="Segoe UI" w:eastAsia="Times New Roman" w:hAnsi="Segoe UI" w:cs="Segoe UI"/>
                <w:color w:val="000000"/>
              </w:rPr>
            </w:pPr>
            <w:r w:rsidRPr="00B64A7D">
              <w:rPr>
                <w:rFonts w:ascii="Segoe UI" w:eastAsia="Times New Roman" w:hAnsi="Segoe UI" w:cs="Segoe UI"/>
                <w:color w:val="000000"/>
              </w:rPr>
              <w:t xml:space="preserve">Total Shareholder Return </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3.43%</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5.86%</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1.77%</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-2.60%</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-19.86%</w:t>
            </w:r>
          </w:p>
        </w:tc>
        <w:tc>
          <w:tcPr>
            <w:tcW w:w="960" w:type="dxa"/>
            <w:tcBorders>
              <w:top w:val="nil"/>
              <w:left w:val="nil"/>
              <w:bottom w:val="single" w:sz="4" w:space="0" w:color="auto"/>
              <w:right w:val="single" w:sz="4" w:space="0" w:color="auto"/>
            </w:tcBorders>
            <w:shd w:val="clear" w:color="auto" w:fill="auto"/>
            <w:vAlign w:val="center"/>
            <w:hideMark/>
          </w:tcPr>
          <w:p w:rsidR="00B64A7D" w:rsidRPr="00B64A7D" w:rsidRDefault="00B64A7D" w:rsidP="00B64A7D">
            <w:pPr>
              <w:spacing w:after="0" w:line="240" w:lineRule="auto"/>
              <w:jc w:val="center"/>
              <w:rPr>
                <w:rFonts w:ascii="Segoe UI" w:eastAsia="Times New Roman" w:hAnsi="Segoe UI" w:cs="Segoe UI"/>
                <w:color w:val="000000"/>
              </w:rPr>
            </w:pPr>
            <w:r w:rsidRPr="00B64A7D">
              <w:rPr>
                <w:rFonts w:ascii="Segoe UI" w:eastAsia="Times New Roman" w:hAnsi="Segoe UI" w:cs="Segoe UI"/>
                <w:color w:val="000000"/>
              </w:rPr>
              <w:t>6.28%</w:t>
            </w:r>
          </w:p>
        </w:tc>
      </w:tr>
    </w:tbl>
    <w:p w:rsidR="00B76538" w:rsidRDefault="00B76538" w:rsidP="00FD2FBD">
      <w:pPr>
        <w:rPr>
          <w:rFonts w:eastAsia="Times New Roman" w:cstheme="minorHAnsi"/>
          <w:sz w:val="28"/>
          <w:szCs w:val="28"/>
        </w:rPr>
      </w:pPr>
    </w:p>
    <w:p w:rsidR="00B76538" w:rsidRPr="0003377C" w:rsidRDefault="0003377C" w:rsidP="00FD2FBD">
      <w:pPr>
        <w:rPr>
          <w:rFonts w:eastAsia="Times New Roman" w:cstheme="minorHAnsi"/>
          <w:b/>
          <w:sz w:val="28"/>
          <w:szCs w:val="28"/>
        </w:rPr>
      </w:pPr>
      <w:r w:rsidRPr="0003377C">
        <w:rPr>
          <w:rFonts w:eastAsia="Times New Roman" w:cstheme="minorHAnsi"/>
          <w:b/>
          <w:sz w:val="28"/>
          <w:szCs w:val="28"/>
        </w:rPr>
        <w:lastRenderedPageBreak/>
        <w:t>Liquidity Ratios</w:t>
      </w:r>
    </w:p>
    <w:p w:rsidR="001F312F" w:rsidRPr="00C275AC" w:rsidRDefault="00BB0FB7" w:rsidP="00FD2FBD">
      <w:pPr>
        <w:rPr>
          <w:rFonts w:eastAsia="Times New Roman" w:cstheme="minorHAnsi"/>
          <w:b/>
          <w:i/>
          <w:sz w:val="28"/>
          <w:szCs w:val="28"/>
        </w:rPr>
      </w:pPr>
      <w:r>
        <w:rPr>
          <w:rFonts w:eastAsia="Times New Roman" w:cstheme="minorHAnsi"/>
          <w:b/>
          <w:i/>
          <w:sz w:val="28"/>
          <w:szCs w:val="28"/>
        </w:rPr>
        <w:t xml:space="preserve">Table 4: </w:t>
      </w:r>
      <w:r w:rsidR="0003377C" w:rsidRPr="00C275AC">
        <w:rPr>
          <w:rFonts w:eastAsia="Times New Roman" w:cstheme="minorHAnsi"/>
          <w:b/>
          <w:i/>
          <w:sz w:val="28"/>
          <w:szCs w:val="28"/>
        </w:rPr>
        <w:t>Current Ratio and Quick ratio</w:t>
      </w:r>
    </w:p>
    <w:tbl>
      <w:tblPr>
        <w:tblStyle w:val="TableGrid"/>
        <w:tblW w:w="0" w:type="auto"/>
        <w:tblLook w:val="04A0" w:firstRow="1" w:lastRow="0" w:firstColumn="1" w:lastColumn="0" w:noHBand="0" w:noVBand="1"/>
      </w:tblPr>
      <w:tblGrid>
        <w:gridCol w:w="1880"/>
        <w:gridCol w:w="960"/>
        <w:gridCol w:w="960"/>
        <w:gridCol w:w="960"/>
        <w:gridCol w:w="960"/>
        <w:gridCol w:w="960"/>
        <w:gridCol w:w="960"/>
      </w:tblGrid>
      <w:tr w:rsidR="003A6854" w:rsidRPr="003A6854" w:rsidTr="003A6854">
        <w:trPr>
          <w:trHeight w:val="660"/>
        </w:trPr>
        <w:tc>
          <w:tcPr>
            <w:tcW w:w="1880" w:type="dxa"/>
            <w:noWrap/>
            <w:hideMark/>
          </w:tcPr>
          <w:p w:rsidR="003A6854" w:rsidRPr="003A6854" w:rsidRDefault="003A6854">
            <w:pPr>
              <w:rPr>
                <w:rFonts w:eastAsia="Times New Roman" w:cstheme="minorHAnsi"/>
                <w:sz w:val="28"/>
                <w:szCs w:val="28"/>
              </w:rPr>
            </w:pPr>
          </w:p>
        </w:tc>
        <w:tc>
          <w:tcPr>
            <w:tcW w:w="960" w:type="dxa"/>
            <w:hideMark/>
          </w:tcPr>
          <w:p w:rsidR="003A6854" w:rsidRPr="003A6854" w:rsidRDefault="003A6854" w:rsidP="003A6854">
            <w:pPr>
              <w:rPr>
                <w:rFonts w:eastAsia="Times New Roman" w:cstheme="minorHAnsi"/>
                <w:b/>
                <w:bCs/>
                <w:sz w:val="28"/>
                <w:szCs w:val="28"/>
              </w:rPr>
            </w:pPr>
            <w:r w:rsidRPr="003A6854">
              <w:rPr>
                <w:rFonts w:eastAsia="Times New Roman" w:cstheme="minorHAnsi"/>
                <w:b/>
                <w:bCs/>
                <w:sz w:val="28"/>
                <w:szCs w:val="28"/>
              </w:rPr>
              <w:t>2020</w:t>
            </w:r>
          </w:p>
        </w:tc>
        <w:tc>
          <w:tcPr>
            <w:tcW w:w="960" w:type="dxa"/>
            <w:hideMark/>
          </w:tcPr>
          <w:p w:rsidR="003A6854" w:rsidRPr="003A6854" w:rsidRDefault="003A6854" w:rsidP="003A6854">
            <w:pPr>
              <w:rPr>
                <w:rFonts w:eastAsia="Times New Roman" w:cstheme="minorHAnsi"/>
                <w:b/>
                <w:bCs/>
                <w:sz w:val="28"/>
                <w:szCs w:val="28"/>
              </w:rPr>
            </w:pPr>
            <w:r w:rsidRPr="003A6854">
              <w:rPr>
                <w:rFonts w:eastAsia="Times New Roman" w:cstheme="minorHAnsi"/>
                <w:b/>
                <w:bCs/>
                <w:sz w:val="28"/>
                <w:szCs w:val="28"/>
              </w:rPr>
              <w:t>2019</w:t>
            </w:r>
          </w:p>
        </w:tc>
        <w:tc>
          <w:tcPr>
            <w:tcW w:w="960" w:type="dxa"/>
            <w:hideMark/>
          </w:tcPr>
          <w:p w:rsidR="003A6854" w:rsidRPr="003A6854" w:rsidRDefault="003A6854" w:rsidP="003A6854">
            <w:pPr>
              <w:rPr>
                <w:rFonts w:eastAsia="Times New Roman" w:cstheme="minorHAnsi"/>
                <w:b/>
                <w:bCs/>
                <w:sz w:val="28"/>
                <w:szCs w:val="28"/>
              </w:rPr>
            </w:pPr>
            <w:r w:rsidRPr="003A6854">
              <w:rPr>
                <w:rFonts w:eastAsia="Times New Roman" w:cstheme="minorHAnsi"/>
                <w:b/>
                <w:bCs/>
                <w:sz w:val="28"/>
                <w:szCs w:val="28"/>
              </w:rPr>
              <w:t>2018</w:t>
            </w:r>
          </w:p>
        </w:tc>
        <w:tc>
          <w:tcPr>
            <w:tcW w:w="960" w:type="dxa"/>
            <w:hideMark/>
          </w:tcPr>
          <w:p w:rsidR="003A6854" w:rsidRPr="003A6854" w:rsidRDefault="003A6854" w:rsidP="003A6854">
            <w:pPr>
              <w:rPr>
                <w:rFonts w:eastAsia="Times New Roman" w:cstheme="minorHAnsi"/>
                <w:b/>
                <w:bCs/>
                <w:sz w:val="28"/>
                <w:szCs w:val="28"/>
              </w:rPr>
            </w:pPr>
            <w:r w:rsidRPr="003A6854">
              <w:rPr>
                <w:rFonts w:eastAsia="Times New Roman" w:cstheme="minorHAnsi"/>
                <w:b/>
                <w:bCs/>
                <w:sz w:val="28"/>
                <w:szCs w:val="28"/>
              </w:rPr>
              <w:t>2017</w:t>
            </w:r>
          </w:p>
        </w:tc>
        <w:tc>
          <w:tcPr>
            <w:tcW w:w="960" w:type="dxa"/>
            <w:hideMark/>
          </w:tcPr>
          <w:p w:rsidR="003A6854" w:rsidRPr="003A6854" w:rsidRDefault="003A6854" w:rsidP="003A6854">
            <w:pPr>
              <w:rPr>
                <w:rFonts w:eastAsia="Times New Roman" w:cstheme="minorHAnsi"/>
                <w:b/>
                <w:bCs/>
                <w:sz w:val="28"/>
                <w:szCs w:val="28"/>
              </w:rPr>
            </w:pPr>
            <w:r w:rsidRPr="003A6854">
              <w:rPr>
                <w:rFonts w:eastAsia="Times New Roman" w:cstheme="minorHAnsi"/>
                <w:b/>
                <w:bCs/>
                <w:sz w:val="28"/>
                <w:szCs w:val="28"/>
              </w:rPr>
              <w:t>2016</w:t>
            </w:r>
          </w:p>
        </w:tc>
        <w:tc>
          <w:tcPr>
            <w:tcW w:w="960" w:type="dxa"/>
            <w:hideMark/>
          </w:tcPr>
          <w:p w:rsidR="003A6854" w:rsidRPr="003A6854" w:rsidRDefault="003A6854" w:rsidP="003A6854">
            <w:pPr>
              <w:rPr>
                <w:rFonts w:eastAsia="Times New Roman" w:cstheme="minorHAnsi"/>
                <w:b/>
                <w:bCs/>
                <w:sz w:val="28"/>
                <w:szCs w:val="28"/>
              </w:rPr>
            </w:pPr>
            <w:r w:rsidRPr="003A6854">
              <w:rPr>
                <w:rFonts w:eastAsia="Times New Roman" w:cstheme="minorHAnsi"/>
                <w:b/>
                <w:bCs/>
                <w:sz w:val="28"/>
                <w:szCs w:val="28"/>
              </w:rPr>
              <w:t>2015</w:t>
            </w:r>
          </w:p>
        </w:tc>
      </w:tr>
      <w:tr w:rsidR="003A6854" w:rsidRPr="003A6854" w:rsidTr="003A6854">
        <w:trPr>
          <w:trHeight w:val="330"/>
        </w:trPr>
        <w:tc>
          <w:tcPr>
            <w:tcW w:w="1880" w:type="dxa"/>
            <w:hideMark/>
          </w:tcPr>
          <w:p w:rsidR="003A6854" w:rsidRPr="003A6854" w:rsidRDefault="003A6854">
            <w:pPr>
              <w:rPr>
                <w:rFonts w:eastAsia="Times New Roman" w:cstheme="minorHAnsi"/>
                <w:sz w:val="28"/>
                <w:szCs w:val="28"/>
              </w:rPr>
            </w:pPr>
            <w:r w:rsidRPr="003A6854">
              <w:rPr>
                <w:rFonts w:eastAsia="Times New Roman" w:cstheme="minorHAnsi"/>
                <w:sz w:val="28"/>
                <w:szCs w:val="28"/>
              </w:rPr>
              <w:t xml:space="preserve">Current Ratio </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1.33</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1.22</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1.59</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1.3</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1.64</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1.5</w:t>
            </w:r>
          </w:p>
        </w:tc>
      </w:tr>
      <w:tr w:rsidR="003A6854" w:rsidRPr="003A6854" w:rsidTr="003A6854">
        <w:trPr>
          <w:trHeight w:val="330"/>
        </w:trPr>
        <w:tc>
          <w:tcPr>
            <w:tcW w:w="1880" w:type="dxa"/>
            <w:hideMark/>
          </w:tcPr>
          <w:p w:rsidR="003A6854" w:rsidRPr="003A6854" w:rsidRDefault="003A6854">
            <w:pPr>
              <w:rPr>
                <w:rFonts w:eastAsia="Times New Roman" w:cstheme="minorHAnsi"/>
                <w:sz w:val="28"/>
                <w:szCs w:val="28"/>
              </w:rPr>
            </w:pPr>
            <w:r w:rsidRPr="003A6854">
              <w:rPr>
                <w:rFonts w:eastAsia="Times New Roman" w:cstheme="minorHAnsi"/>
                <w:sz w:val="28"/>
                <w:szCs w:val="28"/>
              </w:rPr>
              <w:t xml:space="preserve">Quick acid </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 xml:space="preserve">       1.23 </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 xml:space="preserve">       1.13 </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 xml:space="preserve">       1.39 </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 xml:space="preserve">       1.22 </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 xml:space="preserve">       1.44 </w:t>
            </w:r>
          </w:p>
        </w:tc>
        <w:tc>
          <w:tcPr>
            <w:tcW w:w="960" w:type="dxa"/>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 xml:space="preserve">       1.23 </w:t>
            </w:r>
          </w:p>
        </w:tc>
      </w:tr>
      <w:tr w:rsidR="003A6854" w:rsidRPr="003A6854" w:rsidTr="003A6854">
        <w:trPr>
          <w:trHeight w:val="330"/>
        </w:trPr>
        <w:tc>
          <w:tcPr>
            <w:tcW w:w="1880" w:type="dxa"/>
            <w:noWrap/>
            <w:hideMark/>
          </w:tcPr>
          <w:p w:rsidR="003A6854" w:rsidRPr="003A6854" w:rsidRDefault="003A6854">
            <w:pPr>
              <w:rPr>
                <w:rFonts w:eastAsia="Times New Roman" w:cstheme="minorHAnsi"/>
                <w:sz w:val="28"/>
                <w:szCs w:val="28"/>
              </w:rPr>
            </w:pPr>
            <w:r w:rsidRPr="003A6854">
              <w:rPr>
                <w:rFonts w:eastAsia="Times New Roman" w:cstheme="minorHAnsi"/>
                <w:sz w:val="28"/>
                <w:szCs w:val="28"/>
              </w:rPr>
              <w:t xml:space="preserve">Working Capital </w:t>
            </w:r>
          </w:p>
        </w:tc>
        <w:tc>
          <w:tcPr>
            <w:tcW w:w="960" w:type="dxa"/>
            <w:noWrap/>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399</w:t>
            </w:r>
          </w:p>
        </w:tc>
        <w:tc>
          <w:tcPr>
            <w:tcW w:w="960" w:type="dxa"/>
            <w:noWrap/>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390</w:t>
            </w:r>
          </w:p>
        </w:tc>
        <w:tc>
          <w:tcPr>
            <w:tcW w:w="960" w:type="dxa"/>
            <w:noWrap/>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1,089</w:t>
            </w:r>
          </w:p>
        </w:tc>
        <w:tc>
          <w:tcPr>
            <w:tcW w:w="960" w:type="dxa"/>
            <w:noWrap/>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598</w:t>
            </w:r>
          </w:p>
        </w:tc>
        <w:tc>
          <w:tcPr>
            <w:tcW w:w="960" w:type="dxa"/>
            <w:noWrap/>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1,425</w:t>
            </w:r>
          </w:p>
        </w:tc>
        <w:tc>
          <w:tcPr>
            <w:tcW w:w="960" w:type="dxa"/>
            <w:noWrap/>
            <w:hideMark/>
          </w:tcPr>
          <w:p w:rsidR="003A6854" w:rsidRPr="003A6854" w:rsidRDefault="003A6854" w:rsidP="003A6854">
            <w:pPr>
              <w:rPr>
                <w:rFonts w:eastAsia="Times New Roman" w:cstheme="minorHAnsi"/>
                <w:sz w:val="28"/>
                <w:szCs w:val="28"/>
              </w:rPr>
            </w:pPr>
            <w:r w:rsidRPr="003A6854">
              <w:rPr>
                <w:rFonts w:eastAsia="Times New Roman" w:cstheme="minorHAnsi"/>
                <w:sz w:val="28"/>
                <w:szCs w:val="28"/>
              </w:rPr>
              <w:t>861</w:t>
            </w:r>
          </w:p>
        </w:tc>
      </w:tr>
    </w:tbl>
    <w:p w:rsidR="003A6854" w:rsidRDefault="003A6854" w:rsidP="00FD2FBD">
      <w:pPr>
        <w:rPr>
          <w:rFonts w:eastAsia="Times New Roman" w:cstheme="minorHAnsi"/>
          <w:sz w:val="28"/>
          <w:szCs w:val="28"/>
        </w:rPr>
      </w:pPr>
    </w:p>
    <w:p w:rsidR="001F312F" w:rsidRDefault="0003377C" w:rsidP="00FD2FBD">
      <w:pPr>
        <w:rPr>
          <w:rFonts w:eastAsia="Times New Roman" w:cstheme="minorHAnsi"/>
          <w:sz w:val="28"/>
          <w:szCs w:val="28"/>
        </w:rPr>
      </w:pPr>
      <w:r>
        <w:rPr>
          <w:rFonts w:eastAsia="Times New Roman" w:cstheme="minorHAnsi"/>
          <w:sz w:val="28"/>
          <w:szCs w:val="28"/>
        </w:rPr>
        <w:t xml:space="preserve">The ratios are above 1 which indicates that the company’s </w:t>
      </w:r>
      <w:r w:rsidR="00C275AC">
        <w:rPr>
          <w:rFonts w:eastAsia="Times New Roman" w:cstheme="minorHAnsi"/>
          <w:sz w:val="28"/>
          <w:szCs w:val="28"/>
        </w:rPr>
        <w:t>current assets are able to pay for liabilities.</w:t>
      </w:r>
    </w:p>
    <w:p w:rsidR="00005909" w:rsidRPr="00C275AC" w:rsidRDefault="00BB0FB7" w:rsidP="00FD2FBD">
      <w:pPr>
        <w:rPr>
          <w:rFonts w:eastAsia="Times New Roman" w:cstheme="minorHAnsi"/>
          <w:b/>
          <w:i/>
          <w:sz w:val="28"/>
          <w:szCs w:val="28"/>
        </w:rPr>
      </w:pPr>
      <w:r>
        <w:rPr>
          <w:rFonts w:eastAsia="Times New Roman" w:cstheme="minorHAnsi"/>
          <w:b/>
          <w:i/>
          <w:sz w:val="28"/>
          <w:szCs w:val="28"/>
        </w:rPr>
        <w:t>Table 5</w:t>
      </w:r>
      <w:r w:rsidRPr="00BB0FB7">
        <w:rPr>
          <w:rFonts w:eastAsia="Times New Roman" w:cstheme="minorHAnsi"/>
          <w:b/>
          <w:i/>
          <w:sz w:val="28"/>
          <w:szCs w:val="28"/>
        </w:rPr>
        <w:t xml:space="preserve">: </w:t>
      </w:r>
      <w:r w:rsidR="00C275AC" w:rsidRPr="00C275AC">
        <w:rPr>
          <w:rFonts w:eastAsia="Times New Roman" w:cstheme="minorHAnsi"/>
          <w:b/>
          <w:i/>
          <w:sz w:val="28"/>
          <w:szCs w:val="28"/>
        </w:rPr>
        <w:t>Profitability Ratios</w:t>
      </w:r>
    </w:p>
    <w:tbl>
      <w:tblPr>
        <w:tblW w:w="8745" w:type="dxa"/>
        <w:tblInd w:w="93" w:type="dxa"/>
        <w:tblLook w:val="04A0" w:firstRow="1" w:lastRow="0" w:firstColumn="1" w:lastColumn="0" w:noHBand="0" w:noVBand="1"/>
      </w:tblPr>
      <w:tblGrid>
        <w:gridCol w:w="1616"/>
        <w:gridCol w:w="1189"/>
        <w:gridCol w:w="1080"/>
        <w:gridCol w:w="990"/>
        <w:gridCol w:w="1170"/>
        <w:gridCol w:w="1260"/>
        <w:gridCol w:w="1440"/>
      </w:tblGrid>
      <w:tr w:rsidR="00C275AC" w:rsidRPr="00C275AC" w:rsidTr="00C275AC">
        <w:trPr>
          <w:trHeight w:val="128"/>
        </w:trPr>
        <w:tc>
          <w:tcPr>
            <w:tcW w:w="16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rPr>
                <w:rFonts w:ascii="Segoe UI" w:eastAsia="Times New Roman" w:hAnsi="Segoe UI" w:cs="Segoe UI"/>
                <w:color w:val="000000"/>
              </w:rPr>
            </w:pPr>
          </w:p>
        </w:tc>
        <w:tc>
          <w:tcPr>
            <w:tcW w:w="1189" w:type="dxa"/>
            <w:tcBorders>
              <w:top w:val="single" w:sz="4" w:space="0" w:color="auto"/>
              <w:left w:val="nil"/>
              <w:bottom w:val="single" w:sz="4" w:space="0" w:color="auto"/>
              <w:right w:val="single" w:sz="4" w:space="0" w:color="auto"/>
            </w:tcBorders>
            <w:shd w:val="clear" w:color="auto" w:fill="auto"/>
            <w:vAlign w:val="center"/>
          </w:tcPr>
          <w:p w:rsidR="00C275AC" w:rsidRPr="0003377C" w:rsidRDefault="00C275AC" w:rsidP="00336C07">
            <w:pPr>
              <w:spacing w:after="0" w:line="240" w:lineRule="auto"/>
              <w:jc w:val="center"/>
              <w:rPr>
                <w:rFonts w:ascii="Segoe UI" w:eastAsia="Times New Roman" w:hAnsi="Segoe UI" w:cs="Segoe UI"/>
                <w:b/>
                <w:bCs/>
                <w:color w:val="000000"/>
              </w:rPr>
            </w:pPr>
            <w:r w:rsidRPr="0003377C">
              <w:rPr>
                <w:rFonts w:ascii="Segoe UI" w:eastAsia="Times New Roman" w:hAnsi="Segoe UI" w:cs="Segoe UI"/>
                <w:b/>
                <w:bCs/>
                <w:color w:val="000000"/>
              </w:rPr>
              <w:t>2020</w:t>
            </w:r>
          </w:p>
        </w:tc>
        <w:tc>
          <w:tcPr>
            <w:tcW w:w="1080" w:type="dxa"/>
            <w:tcBorders>
              <w:top w:val="single" w:sz="4" w:space="0" w:color="auto"/>
              <w:left w:val="nil"/>
              <w:bottom w:val="single" w:sz="4" w:space="0" w:color="auto"/>
              <w:right w:val="single" w:sz="4" w:space="0" w:color="auto"/>
            </w:tcBorders>
            <w:shd w:val="clear" w:color="auto" w:fill="auto"/>
            <w:vAlign w:val="center"/>
          </w:tcPr>
          <w:p w:rsidR="00C275AC" w:rsidRPr="0003377C" w:rsidRDefault="00C275AC" w:rsidP="00336C07">
            <w:pPr>
              <w:spacing w:after="0" w:line="240" w:lineRule="auto"/>
              <w:jc w:val="center"/>
              <w:rPr>
                <w:rFonts w:ascii="Segoe UI" w:eastAsia="Times New Roman" w:hAnsi="Segoe UI" w:cs="Segoe UI"/>
                <w:b/>
                <w:bCs/>
                <w:color w:val="000000"/>
              </w:rPr>
            </w:pPr>
            <w:r w:rsidRPr="0003377C">
              <w:rPr>
                <w:rFonts w:ascii="Segoe UI" w:eastAsia="Times New Roman" w:hAnsi="Segoe UI" w:cs="Segoe UI"/>
                <w:b/>
                <w:bCs/>
                <w:color w:val="000000"/>
              </w:rPr>
              <w:t>2019</w:t>
            </w:r>
          </w:p>
        </w:tc>
        <w:tc>
          <w:tcPr>
            <w:tcW w:w="990" w:type="dxa"/>
            <w:tcBorders>
              <w:top w:val="single" w:sz="4" w:space="0" w:color="auto"/>
              <w:left w:val="nil"/>
              <w:bottom w:val="single" w:sz="4" w:space="0" w:color="auto"/>
              <w:right w:val="single" w:sz="4" w:space="0" w:color="auto"/>
            </w:tcBorders>
            <w:shd w:val="clear" w:color="auto" w:fill="auto"/>
            <w:vAlign w:val="center"/>
          </w:tcPr>
          <w:p w:rsidR="00C275AC" w:rsidRPr="0003377C" w:rsidRDefault="00C275AC" w:rsidP="00336C07">
            <w:pPr>
              <w:spacing w:after="0" w:line="240" w:lineRule="auto"/>
              <w:jc w:val="center"/>
              <w:rPr>
                <w:rFonts w:ascii="Segoe UI" w:eastAsia="Times New Roman" w:hAnsi="Segoe UI" w:cs="Segoe UI"/>
                <w:b/>
                <w:bCs/>
                <w:color w:val="000000"/>
              </w:rPr>
            </w:pPr>
            <w:r w:rsidRPr="0003377C">
              <w:rPr>
                <w:rFonts w:ascii="Segoe UI" w:eastAsia="Times New Roman" w:hAnsi="Segoe UI" w:cs="Segoe UI"/>
                <w:b/>
                <w:bCs/>
                <w:color w:val="000000"/>
              </w:rPr>
              <w:t>2018</w:t>
            </w:r>
          </w:p>
        </w:tc>
        <w:tc>
          <w:tcPr>
            <w:tcW w:w="1170" w:type="dxa"/>
            <w:tcBorders>
              <w:top w:val="single" w:sz="4" w:space="0" w:color="auto"/>
              <w:left w:val="nil"/>
              <w:bottom w:val="single" w:sz="4" w:space="0" w:color="auto"/>
              <w:right w:val="single" w:sz="4" w:space="0" w:color="auto"/>
            </w:tcBorders>
            <w:shd w:val="clear" w:color="auto" w:fill="auto"/>
            <w:vAlign w:val="center"/>
          </w:tcPr>
          <w:p w:rsidR="00C275AC" w:rsidRPr="0003377C" w:rsidRDefault="00C275AC" w:rsidP="00336C07">
            <w:pPr>
              <w:spacing w:after="0" w:line="240" w:lineRule="auto"/>
              <w:jc w:val="center"/>
              <w:rPr>
                <w:rFonts w:ascii="Segoe UI" w:eastAsia="Times New Roman" w:hAnsi="Segoe UI" w:cs="Segoe UI"/>
                <w:b/>
                <w:bCs/>
                <w:color w:val="000000"/>
              </w:rPr>
            </w:pPr>
            <w:r w:rsidRPr="0003377C">
              <w:rPr>
                <w:rFonts w:ascii="Segoe UI" w:eastAsia="Times New Roman" w:hAnsi="Segoe UI" w:cs="Segoe UI"/>
                <w:b/>
                <w:bCs/>
                <w:color w:val="000000"/>
              </w:rPr>
              <w:t>2017</w:t>
            </w:r>
          </w:p>
        </w:tc>
        <w:tc>
          <w:tcPr>
            <w:tcW w:w="1260" w:type="dxa"/>
            <w:tcBorders>
              <w:top w:val="single" w:sz="4" w:space="0" w:color="auto"/>
              <w:left w:val="nil"/>
              <w:bottom w:val="single" w:sz="4" w:space="0" w:color="auto"/>
              <w:right w:val="single" w:sz="4" w:space="0" w:color="auto"/>
            </w:tcBorders>
            <w:shd w:val="clear" w:color="auto" w:fill="auto"/>
            <w:vAlign w:val="center"/>
          </w:tcPr>
          <w:p w:rsidR="00C275AC" w:rsidRPr="0003377C" w:rsidRDefault="00C275AC" w:rsidP="00336C07">
            <w:pPr>
              <w:spacing w:after="0" w:line="240" w:lineRule="auto"/>
              <w:jc w:val="center"/>
              <w:rPr>
                <w:rFonts w:ascii="Segoe UI" w:eastAsia="Times New Roman" w:hAnsi="Segoe UI" w:cs="Segoe UI"/>
                <w:b/>
                <w:bCs/>
                <w:color w:val="000000"/>
              </w:rPr>
            </w:pPr>
            <w:r w:rsidRPr="0003377C">
              <w:rPr>
                <w:rFonts w:ascii="Segoe UI" w:eastAsia="Times New Roman" w:hAnsi="Segoe UI" w:cs="Segoe UI"/>
                <w:b/>
                <w:bCs/>
                <w:color w:val="000000"/>
              </w:rPr>
              <w:t>2016</w:t>
            </w:r>
          </w:p>
        </w:tc>
        <w:tc>
          <w:tcPr>
            <w:tcW w:w="1440" w:type="dxa"/>
            <w:tcBorders>
              <w:top w:val="single" w:sz="4" w:space="0" w:color="auto"/>
              <w:left w:val="nil"/>
              <w:bottom w:val="single" w:sz="4" w:space="0" w:color="auto"/>
              <w:right w:val="single" w:sz="4" w:space="0" w:color="auto"/>
            </w:tcBorders>
            <w:shd w:val="clear" w:color="auto" w:fill="auto"/>
            <w:vAlign w:val="center"/>
          </w:tcPr>
          <w:p w:rsidR="00C275AC" w:rsidRPr="0003377C" w:rsidRDefault="00C275AC" w:rsidP="00336C07">
            <w:pPr>
              <w:spacing w:after="0" w:line="240" w:lineRule="auto"/>
              <w:jc w:val="center"/>
              <w:rPr>
                <w:rFonts w:ascii="Segoe UI" w:eastAsia="Times New Roman" w:hAnsi="Segoe UI" w:cs="Segoe UI"/>
                <w:b/>
                <w:bCs/>
                <w:color w:val="000000"/>
              </w:rPr>
            </w:pPr>
            <w:r w:rsidRPr="0003377C">
              <w:rPr>
                <w:rFonts w:ascii="Segoe UI" w:eastAsia="Times New Roman" w:hAnsi="Segoe UI" w:cs="Segoe UI"/>
                <w:b/>
                <w:bCs/>
                <w:color w:val="000000"/>
              </w:rPr>
              <w:t>2015</w:t>
            </w:r>
          </w:p>
        </w:tc>
      </w:tr>
      <w:tr w:rsidR="00C275AC" w:rsidRPr="00C275AC" w:rsidTr="00C275AC">
        <w:trPr>
          <w:trHeight w:val="855"/>
        </w:trPr>
        <w:tc>
          <w:tcPr>
            <w:tcW w:w="1616" w:type="dxa"/>
            <w:tcBorders>
              <w:top w:val="single" w:sz="4" w:space="0" w:color="auto"/>
              <w:left w:val="single" w:sz="4" w:space="0" w:color="auto"/>
              <w:bottom w:val="single" w:sz="4" w:space="0" w:color="auto"/>
              <w:right w:val="single" w:sz="4" w:space="0" w:color="auto"/>
            </w:tcBorders>
            <w:shd w:val="clear" w:color="auto" w:fill="auto"/>
            <w:vAlign w:val="center"/>
          </w:tcPr>
          <w:p w:rsidR="00C275AC" w:rsidRPr="00C275AC" w:rsidRDefault="00C275AC" w:rsidP="00C275AC">
            <w:pPr>
              <w:spacing w:after="0" w:line="240" w:lineRule="auto"/>
              <w:rPr>
                <w:rFonts w:ascii="Segoe UI" w:eastAsia="Times New Roman" w:hAnsi="Segoe UI" w:cs="Segoe UI"/>
                <w:color w:val="000000"/>
              </w:rPr>
            </w:pPr>
            <w:r w:rsidRPr="00C275AC">
              <w:rPr>
                <w:rFonts w:ascii="Segoe UI" w:eastAsia="Times New Roman" w:hAnsi="Segoe UI" w:cs="Segoe UI"/>
                <w:color w:val="000000"/>
              </w:rPr>
              <w:t xml:space="preserve">Return on Equity (ROE) </w:t>
            </w:r>
          </w:p>
        </w:tc>
        <w:tc>
          <w:tcPr>
            <w:tcW w:w="1189" w:type="dxa"/>
            <w:tcBorders>
              <w:top w:val="single" w:sz="4" w:space="0" w:color="auto"/>
              <w:left w:val="nil"/>
              <w:bottom w:val="single" w:sz="4" w:space="0" w:color="auto"/>
              <w:right w:val="single" w:sz="4" w:space="0" w:color="auto"/>
            </w:tcBorders>
            <w:shd w:val="clear" w:color="auto" w:fill="auto"/>
            <w:vAlign w:val="center"/>
          </w:tcPr>
          <w:p w:rsidR="00C275AC" w:rsidRPr="00C275AC" w:rsidRDefault="00C275AC" w:rsidP="00336C07">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-13.00%</w:t>
            </w:r>
          </w:p>
        </w:tc>
        <w:tc>
          <w:tcPr>
            <w:tcW w:w="1080" w:type="dxa"/>
            <w:tcBorders>
              <w:top w:val="single" w:sz="4" w:space="0" w:color="auto"/>
              <w:left w:val="nil"/>
              <w:bottom w:val="single" w:sz="4" w:space="0" w:color="auto"/>
              <w:right w:val="single" w:sz="4" w:space="0" w:color="auto"/>
            </w:tcBorders>
            <w:shd w:val="clear" w:color="auto" w:fill="auto"/>
            <w:vAlign w:val="center"/>
          </w:tcPr>
          <w:p w:rsidR="00C275AC" w:rsidRPr="00C275AC" w:rsidRDefault="00C275AC" w:rsidP="00336C07">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3.90%</w:t>
            </w:r>
          </w:p>
        </w:tc>
        <w:tc>
          <w:tcPr>
            <w:tcW w:w="990" w:type="dxa"/>
            <w:tcBorders>
              <w:top w:val="single" w:sz="4" w:space="0" w:color="auto"/>
              <w:left w:val="nil"/>
              <w:bottom w:val="single" w:sz="4" w:space="0" w:color="auto"/>
              <w:right w:val="single" w:sz="4" w:space="0" w:color="auto"/>
            </w:tcBorders>
            <w:shd w:val="clear" w:color="auto" w:fill="auto"/>
            <w:vAlign w:val="center"/>
          </w:tcPr>
          <w:p w:rsidR="00C275AC" w:rsidRPr="00C275AC" w:rsidRDefault="00C275AC" w:rsidP="00336C07">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9.10%</w:t>
            </w:r>
          </w:p>
        </w:tc>
        <w:tc>
          <w:tcPr>
            <w:tcW w:w="1170" w:type="dxa"/>
            <w:tcBorders>
              <w:top w:val="single" w:sz="4" w:space="0" w:color="auto"/>
              <w:left w:val="nil"/>
              <w:bottom w:val="single" w:sz="4" w:space="0" w:color="auto"/>
              <w:right w:val="single" w:sz="4" w:space="0" w:color="auto"/>
            </w:tcBorders>
            <w:shd w:val="clear" w:color="auto" w:fill="auto"/>
            <w:vAlign w:val="center"/>
          </w:tcPr>
          <w:p w:rsidR="00C275AC" w:rsidRPr="00C275AC" w:rsidRDefault="00C275AC" w:rsidP="00336C07">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-47.20%</w:t>
            </w:r>
          </w:p>
        </w:tc>
        <w:tc>
          <w:tcPr>
            <w:tcW w:w="1260" w:type="dxa"/>
            <w:tcBorders>
              <w:top w:val="single" w:sz="4" w:space="0" w:color="auto"/>
              <w:left w:val="nil"/>
              <w:bottom w:val="single" w:sz="4" w:space="0" w:color="auto"/>
              <w:right w:val="single" w:sz="4" w:space="0" w:color="auto"/>
            </w:tcBorders>
            <w:shd w:val="clear" w:color="auto" w:fill="auto"/>
            <w:vAlign w:val="center"/>
          </w:tcPr>
          <w:p w:rsidR="00C275AC" w:rsidRPr="00C275AC" w:rsidRDefault="00C275AC" w:rsidP="00336C07">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-11.40%</w:t>
            </w:r>
          </w:p>
        </w:tc>
        <w:tc>
          <w:tcPr>
            <w:tcW w:w="1440" w:type="dxa"/>
            <w:tcBorders>
              <w:top w:val="single" w:sz="4" w:space="0" w:color="auto"/>
              <w:left w:val="nil"/>
              <w:bottom w:val="single" w:sz="4" w:space="0" w:color="auto"/>
              <w:right w:val="single" w:sz="4" w:space="0" w:color="auto"/>
            </w:tcBorders>
            <w:shd w:val="clear" w:color="auto" w:fill="auto"/>
            <w:vAlign w:val="center"/>
          </w:tcPr>
          <w:p w:rsidR="00C275AC" w:rsidRPr="00C275AC" w:rsidRDefault="00C275AC" w:rsidP="00336C07">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-11.20%</w:t>
            </w:r>
          </w:p>
        </w:tc>
      </w:tr>
      <w:tr w:rsidR="00C275AC" w:rsidRPr="00C275AC" w:rsidTr="00C275AC">
        <w:trPr>
          <w:trHeight w:val="935"/>
        </w:trPr>
        <w:tc>
          <w:tcPr>
            <w:tcW w:w="1616" w:type="dxa"/>
            <w:tcBorders>
              <w:top w:val="nil"/>
              <w:left w:val="single" w:sz="4" w:space="0" w:color="auto"/>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rPr>
                <w:rFonts w:ascii="Segoe UI" w:eastAsia="Times New Roman" w:hAnsi="Segoe UI" w:cs="Segoe UI"/>
                <w:color w:val="000000"/>
              </w:rPr>
            </w:pPr>
            <w:r w:rsidRPr="00C275AC">
              <w:rPr>
                <w:rFonts w:ascii="Segoe UI" w:eastAsia="Times New Roman" w:hAnsi="Segoe UI" w:cs="Segoe UI"/>
                <w:color w:val="000000"/>
              </w:rPr>
              <w:t xml:space="preserve">Return on Assets (ROA) </w:t>
            </w:r>
          </w:p>
        </w:tc>
        <w:tc>
          <w:tcPr>
            <w:tcW w:w="1189"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-7.70%</w:t>
            </w:r>
          </w:p>
        </w:tc>
        <w:tc>
          <w:tcPr>
            <w:tcW w:w="1080"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2.30%</w:t>
            </w:r>
          </w:p>
        </w:tc>
        <w:tc>
          <w:tcPr>
            <w:tcW w:w="990"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5.10%</w:t>
            </w:r>
          </w:p>
        </w:tc>
        <w:tc>
          <w:tcPr>
            <w:tcW w:w="1170"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-24.40%</w:t>
            </w:r>
          </w:p>
        </w:tc>
        <w:tc>
          <w:tcPr>
            <w:tcW w:w="1260"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-6.60%</w:t>
            </w:r>
          </w:p>
        </w:tc>
        <w:tc>
          <w:tcPr>
            <w:tcW w:w="1440"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-6.40%</w:t>
            </w:r>
          </w:p>
        </w:tc>
      </w:tr>
      <w:tr w:rsidR="00C275AC" w:rsidRPr="00C275AC" w:rsidTr="00C275AC">
        <w:trPr>
          <w:trHeight w:val="330"/>
        </w:trPr>
        <w:tc>
          <w:tcPr>
            <w:tcW w:w="1616" w:type="dxa"/>
            <w:tcBorders>
              <w:top w:val="nil"/>
              <w:left w:val="single" w:sz="4" w:space="0" w:color="auto"/>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rPr>
                <w:rFonts w:ascii="Calibri" w:eastAsia="Times New Roman" w:hAnsi="Calibri" w:cs="Calibri"/>
                <w:color w:val="000000"/>
              </w:rPr>
            </w:pPr>
            <w:r w:rsidRPr="00C275AC">
              <w:rPr>
                <w:rFonts w:ascii="Calibri" w:eastAsia="Times New Roman" w:hAnsi="Calibri" w:cs="Calibri"/>
                <w:color w:val="000000"/>
              </w:rPr>
              <w:t xml:space="preserve">Profit Margin </w:t>
            </w:r>
          </w:p>
        </w:tc>
        <w:tc>
          <w:tcPr>
            <w:tcW w:w="1189"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-47.02%</w:t>
            </w:r>
          </w:p>
        </w:tc>
        <w:tc>
          <w:tcPr>
            <w:tcW w:w="108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9.25%</w:t>
            </w:r>
          </w:p>
        </w:tc>
        <w:tc>
          <w:tcPr>
            <w:tcW w:w="99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16.65%</w:t>
            </w:r>
          </w:p>
        </w:tc>
        <w:tc>
          <w:tcPr>
            <w:tcW w:w="117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-120.10%</w:t>
            </w:r>
          </w:p>
        </w:tc>
        <w:tc>
          <w:tcPr>
            <w:tcW w:w="126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-56.51%</w:t>
            </w:r>
          </w:p>
        </w:tc>
        <w:tc>
          <w:tcPr>
            <w:tcW w:w="144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-44.50%</w:t>
            </w:r>
          </w:p>
        </w:tc>
      </w:tr>
      <w:tr w:rsidR="00C275AC" w:rsidRPr="00C275AC" w:rsidTr="00C275AC">
        <w:trPr>
          <w:trHeight w:val="330"/>
        </w:trPr>
        <w:tc>
          <w:tcPr>
            <w:tcW w:w="1616" w:type="dxa"/>
            <w:tcBorders>
              <w:top w:val="nil"/>
              <w:left w:val="single" w:sz="4" w:space="0" w:color="auto"/>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rPr>
                <w:rFonts w:ascii="Calibri" w:eastAsia="Times New Roman" w:hAnsi="Calibri" w:cs="Calibri"/>
                <w:color w:val="000000"/>
              </w:rPr>
            </w:pPr>
            <w:r w:rsidRPr="00C275AC">
              <w:rPr>
                <w:rFonts w:ascii="Calibri" w:eastAsia="Times New Roman" w:hAnsi="Calibri" w:cs="Calibri"/>
                <w:color w:val="000000"/>
              </w:rPr>
              <w:t xml:space="preserve">Gross Margin </w:t>
            </w:r>
          </w:p>
        </w:tc>
        <w:tc>
          <w:tcPr>
            <w:tcW w:w="1189"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62.70%</w:t>
            </w:r>
          </w:p>
        </w:tc>
        <w:tc>
          <w:tcPr>
            <w:tcW w:w="108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74.62%</w:t>
            </w:r>
          </w:p>
        </w:tc>
        <w:tc>
          <w:tcPr>
            <w:tcW w:w="99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78.47%</w:t>
            </w:r>
          </w:p>
        </w:tc>
        <w:tc>
          <w:tcPr>
            <w:tcW w:w="117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72.40%</w:t>
            </w:r>
          </w:p>
        </w:tc>
        <w:tc>
          <w:tcPr>
            <w:tcW w:w="126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61.74%</w:t>
            </w:r>
          </w:p>
        </w:tc>
        <w:tc>
          <w:tcPr>
            <w:tcW w:w="144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61.86%</w:t>
            </w:r>
          </w:p>
        </w:tc>
      </w:tr>
      <w:tr w:rsidR="00C275AC" w:rsidRPr="00C275AC" w:rsidTr="00C275AC">
        <w:trPr>
          <w:trHeight w:val="890"/>
        </w:trPr>
        <w:tc>
          <w:tcPr>
            <w:tcW w:w="1616" w:type="dxa"/>
            <w:tcBorders>
              <w:top w:val="nil"/>
              <w:left w:val="single" w:sz="4" w:space="0" w:color="auto"/>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rPr>
                <w:rFonts w:ascii="Segoe UI" w:eastAsia="Times New Roman" w:hAnsi="Segoe UI" w:cs="Segoe UI"/>
                <w:color w:val="000000"/>
              </w:rPr>
            </w:pPr>
            <w:r w:rsidRPr="00C275AC">
              <w:rPr>
                <w:rFonts w:ascii="Segoe UI" w:eastAsia="Times New Roman" w:hAnsi="Segoe UI" w:cs="Segoe UI"/>
                <w:color w:val="000000"/>
              </w:rPr>
              <w:t xml:space="preserve">Return on Capital (ROIC) </w:t>
            </w:r>
          </w:p>
        </w:tc>
        <w:tc>
          <w:tcPr>
            <w:tcW w:w="1189"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-5.50%</w:t>
            </w:r>
          </w:p>
        </w:tc>
        <w:tc>
          <w:tcPr>
            <w:tcW w:w="1080"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2.80%</w:t>
            </w:r>
          </w:p>
        </w:tc>
        <w:tc>
          <w:tcPr>
            <w:tcW w:w="990"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7.00%</w:t>
            </w:r>
          </w:p>
        </w:tc>
        <w:tc>
          <w:tcPr>
            <w:tcW w:w="1170"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-19.60%</w:t>
            </w:r>
          </w:p>
        </w:tc>
        <w:tc>
          <w:tcPr>
            <w:tcW w:w="1260"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-2.50%</w:t>
            </w:r>
          </w:p>
        </w:tc>
        <w:tc>
          <w:tcPr>
            <w:tcW w:w="1440" w:type="dxa"/>
            <w:tcBorders>
              <w:top w:val="nil"/>
              <w:left w:val="nil"/>
              <w:bottom w:val="single" w:sz="4" w:space="0" w:color="auto"/>
              <w:right w:val="single" w:sz="4" w:space="0" w:color="auto"/>
            </w:tcBorders>
            <w:shd w:val="clear" w:color="auto" w:fill="auto"/>
            <w:vAlign w:val="center"/>
            <w:hideMark/>
          </w:tcPr>
          <w:p w:rsidR="00C275AC" w:rsidRPr="00C275AC" w:rsidRDefault="00C275AC" w:rsidP="00C275AC">
            <w:pPr>
              <w:spacing w:after="0" w:line="240" w:lineRule="auto"/>
              <w:jc w:val="center"/>
              <w:rPr>
                <w:rFonts w:ascii="Segoe UI" w:eastAsia="Times New Roman" w:hAnsi="Segoe UI" w:cs="Segoe UI"/>
                <w:color w:val="000000"/>
              </w:rPr>
            </w:pPr>
            <w:r w:rsidRPr="00C275AC">
              <w:rPr>
                <w:rFonts w:ascii="Segoe UI" w:eastAsia="Times New Roman" w:hAnsi="Segoe UI" w:cs="Segoe UI"/>
                <w:color w:val="000000"/>
              </w:rPr>
              <w:t>-7.10%</w:t>
            </w:r>
          </w:p>
        </w:tc>
      </w:tr>
      <w:tr w:rsidR="00C275AC" w:rsidRPr="00C275AC" w:rsidTr="00C275AC">
        <w:trPr>
          <w:trHeight w:val="330"/>
        </w:trPr>
        <w:tc>
          <w:tcPr>
            <w:tcW w:w="1616" w:type="dxa"/>
            <w:tcBorders>
              <w:top w:val="nil"/>
              <w:left w:val="single" w:sz="4" w:space="0" w:color="auto"/>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rPr>
                <w:rFonts w:ascii="Calibri" w:eastAsia="Times New Roman" w:hAnsi="Calibri" w:cs="Calibri"/>
                <w:color w:val="000000"/>
              </w:rPr>
            </w:pPr>
            <w:r w:rsidRPr="00C275AC">
              <w:rPr>
                <w:rFonts w:ascii="Calibri" w:eastAsia="Times New Roman" w:hAnsi="Calibri" w:cs="Calibri"/>
                <w:color w:val="000000"/>
              </w:rPr>
              <w:t xml:space="preserve">Operating Margin </w:t>
            </w:r>
          </w:p>
        </w:tc>
        <w:tc>
          <w:tcPr>
            <w:tcW w:w="1189"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-38.24%</w:t>
            </w:r>
          </w:p>
        </w:tc>
        <w:tc>
          <w:tcPr>
            <w:tcW w:w="108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12.25%</w:t>
            </w:r>
          </w:p>
        </w:tc>
        <w:tc>
          <w:tcPr>
            <w:tcW w:w="99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25.33%</w:t>
            </w:r>
          </w:p>
        </w:tc>
        <w:tc>
          <w:tcPr>
            <w:tcW w:w="117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-2.39%</w:t>
            </w:r>
          </w:p>
        </w:tc>
        <w:tc>
          <w:tcPr>
            <w:tcW w:w="126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-19.28%</w:t>
            </w:r>
          </w:p>
        </w:tc>
        <w:tc>
          <w:tcPr>
            <w:tcW w:w="1440" w:type="dxa"/>
            <w:tcBorders>
              <w:top w:val="nil"/>
              <w:left w:val="nil"/>
              <w:bottom w:val="single" w:sz="4" w:space="0" w:color="auto"/>
              <w:right w:val="single" w:sz="4" w:space="0" w:color="auto"/>
            </w:tcBorders>
            <w:shd w:val="clear" w:color="auto" w:fill="auto"/>
            <w:noWrap/>
            <w:vAlign w:val="bottom"/>
            <w:hideMark/>
          </w:tcPr>
          <w:p w:rsidR="00C275AC" w:rsidRPr="00C275AC" w:rsidRDefault="00C275AC" w:rsidP="00C275AC">
            <w:pPr>
              <w:spacing w:after="0" w:line="240" w:lineRule="auto"/>
              <w:jc w:val="center"/>
              <w:rPr>
                <w:rFonts w:ascii="Calibri" w:eastAsia="Times New Roman" w:hAnsi="Calibri" w:cs="Calibri"/>
                <w:color w:val="000000"/>
              </w:rPr>
            </w:pPr>
            <w:r w:rsidRPr="00C275AC">
              <w:rPr>
                <w:rFonts w:ascii="Calibri" w:eastAsia="Times New Roman" w:hAnsi="Calibri" w:cs="Calibri"/>
                <w:color w:val="000000"/>
              </w:rPr>
              <w:t>-43.47%</w:t>
            </w:r>
          </w:p>
        </w:tc>
      </w:tr>
    </w:tbl>
    <w:p w:rsidR="00C275AC" w:rsidRDefault="00C275AC" w:rsidP="00FD2FBD">
      <w:pPr>
        <w:rPr>
          <w:rFonts w:eastAsia="Times New Roman" w:cstheme="minorHAnsi"/>
          <w:sz w:val="28"/>
          <w:szCs w:val="28"/>
        </w:rPr>
      </w:pPr>
    </w:p>
    <w:p w:rsidR="00C275AC" w:rsidRDefault="00C275AC" w:rsidP="00FD2FBD">
      <w:pPr>
        <w:rPr>
          <w:rFonts w:eastAsia="Times New Roman" w:cstheme="minorHAnsi"/>
          <w:sz w:val="28"/>
          <w:szCs w:val="28"/>
        </w:rPr>
      </w:pPr>
      <w:r>
        <w:rPr>
          <w:rFonts w:eastAsia="Times New Roman" w:cstheme="minorHAnsi"/>
          <w:sz w:val="28"/>
          <w:szCs w:val="28"/>
        </w:rPr>
        <w:t>The table above shows significant deterioration of p</w:t>
      </w:r>
      <w:r w:rsidRPr="00C275AC">
        <w:rPr>
          <w:rFonts w:eastAsia="Times New Roman" w:cstheme="minorHAnsi"/>
          <w:sz w:val="28"/>
          <w:szCs w:val="28"/>
        </w:rPr>
        <w:t>rofitability</w:t>
      </w:r>
      <w:r>
        <w:rPr>
          <w:rFonts w:eastAsia="Times New Roman" w:cstheme="minorHAnsi"/>
          <w:sz w:val="28"/>
          <w:szCs w:val="28"/>
        </w:rPr>
        <w:t xml:space="preserve"> in most of the r</w:t>
      </w:r>
      <w:r w:rsidRPr="00C275AC">
        <w:rPr>
          <w:rFonts w:eastAsia="Times New Roman" w:cstheme="minorHAnsi"/>
          <w:sz w:val="28"/>
          <w:szCs w:val="28"/>
        </w:rPr>
        <w:t>atios</w:t>
      </w:r>
      <w:r>
        <w:rPr>
          <w:rFonts w:eastAsia="Times New Roman" w:cstheme="minorHAnsi"/>
          <w:sz w:val="28"/>
          <w:szCs w:val="28"/>
        </w:rPr>
        <w:t xml:space="preserve"> between period 2015 and 2017 and between 2018 and 2020. </w:t>
      </w:r>
      <w:r w:rsidR="00832FD7">
        <w:rPr>
          <w:rFonts w:eastAsia="Times New Roman" w:cstheme="minorHAnsi"/>
          <w:sz w:val="28"/>
          <w:szCs w:val="28"/>
        </w:rPr>
        <w:t xml:space="preserve">As indicated earlier, the recent downward performance from 2018 coincides with a deterioration of demand and prices for oil in the market following trade tension and wars between the US and China. </w:t>
      </w:r>
      <w:r w:rsidR="007A2D28">
        <w:rPr>
          <w:rFonts w:eastAsia="Times New Roman" w:cstheme="minorHAnsi"/>
          <w:sz w:val="28"/>
          <w:szCs w:val="28"/>
        </w:rPr>
        <w:t xml:space="preserve">The period before 2018 coincides with slow in economic growth and the peak of </w:t>
      </w:r>
      <w:proofErr w:type="spellStart"/>
      <w:r w:rsidR="007A2D28">
        <w:rPr>
          <w:rFonts w:eastAsia="Times New Roman" w:cstheme="minorHAnsi"/>
          <w:sz w:val="28"/>
          <w:szCs w:val="28"/>
        </w:rPr>
        <w:t>Fracking</w:t>
      </w:r>
      <w:proofErr w:type="spellEnd"/>
      <w:r w:rsidR="007A2D28" w:rsidRPr="007A2D28">
        <w:rPr>
          <w:rFonts w:eastAsia="Times New Roman" w:cstheme="minorHAnsi"/>
          <w:sz w:val="28"/>
          <w:szCs w:val="28"/>
        </w:rPr>
        <w:t xml:space="preserve"> technology</w:t>
      </w:r>
      <w:r w:rsidR="007A2D28">
        <w:rPr>
          <w:rFonts w:eastAsia="Times New Roman" w:cstheme="minorHAnsi"/>
          <w:sz w:val="28"/>
          <w:szCs w:val="28"/>
        </w:rPr>
        <w:t xml:space="preserve"> which caused the US to </w:t>
      </w:r>
      <w:r w:rsidR="007A2D28">
        <w:rPr>
          <w:rFonts w:eastAsia="Times New Roman" w:cstheme="minorHAnsi"/>
          <w:sz w:val="28"/>
          <w:szCs w:val="28"/>
        </w:rPr>
        <w:lastRenderedPageBreak/>
        <w:t xml:space="preserve">increase its oil production hence suppressing prices. </w:t>
      </w:r>
      <w:r w:rsidR="00784B32">
        <w:rPr>
          <w:rFonts w:eastAsia="Times New Roman" w:cstheme="minorHAnsi"/>
          <w:sz w:val="28"/>
          <w:szCs w:val="28"/>
        </w:rPr>
        <w:t xml:space="preserve">The trend had reversed in 2018 with better management of oil production but the </w:t>
      </w:r>
      <w:r w:rsidR="00784B32" w:rsidRPr="00784B32">
        <w:rPr>
          <w:rFonts w:eastAsia="Times New Roman" w:cstheme="minorHAnsi"/>
          <w:sz w:val="28"/>
          <w:szCs w:val="28"/>
        </w:rPr>
        <w:t>US and China</w:t>
      </w:r>
      <w:r w:rsidR="00784B32">
        <w:rPr>
          <w:rFonts w:eastAsia="Times New Roman" w:cstheme="minorHAnsi"/>
          <w:sz w:val="28"/>
          <w:szCs w:val="28"/>
        </w:rPr>
        <w:t xml:space="preserve"> trade tensions reversed the trend and the lowest performance was in 2020.</w:t>
      </w:r>
    </w:p>
    <w:p w:rsidR="007A2D28" w:rsidRPr="00784B32" w:rsidRDefault="00784B32" w:rsidP="00FD2FBD">
      <w:pPr>
        <w:rPr>
          <w:rFonts w:eastAsia="Times New Roman" w:cstheme="minorHAnsi"/>
          <w:b/>
          <w:i/>
          <w:sz w:val="28"/>
          <w:szCs w:val="28"/>
        </w:rPr>
      </w:pPr>
      <w:r w:rsidRPr="00784B32">
        <w:rPr>
          <w:rFonts w:eastAsia="Times New Roman" w:cstheme="minorHAnsi"/>
          <w:b/>
          <w:i/>
          <w:sz w:val="28"/>
          <w:szCs w:val="28"/>
        </w:rPr>
        <w:t>Turnover Ratios</w:t>
      </w:r>
    </w:p>
    <w:p w:rsidR="007A2D28" w:rsidRDefault="00630F35" w:rsidP="00FD2FBD">
      <w:pPr>
        <w:rPr>
          <w:rFonts w:eastAsia="Times New Roman" w:cstheme="minorHAnsi"/>
          <w:sz w:val="28"/>
          <w:szCs w:val="28"/>
        </w:rPr>
      </w:pPr>
      <w:r>
        <w:rPr>
          <w:rFonts w:eastAsia="Times New Roman" w:cstheme="minorHAnsi"/>
          <w:sz w:val="28"/>
          <w:szCs w:val="28"/>
        </w:rPr>
        <w:t>T</w:t>
      </w:r>
      <w:r w:rsidR="00BB0FB7">
        <w:rPr>
          <w:rFonts w:eastAsia="Times New Roman" w:cstheme="minorHAnsi"/>
          <w:sz w:val="28"/>
          <w:szCs w:val="28"/>
        </w:rPr>
        <w:t xml:space="preserve">able 6 below shows </w:t>
      </w:r>
    </w:p>
    <w:p w:rsidR="00BB0FB7" w:rsidRDefault="00BB0FB7" w:rsidP="00FD2FBD">
      <w:pPr>
        <w:rPr>
          <w:rFonts w:eastAsia="Times New Roman" w:cstheme="minorHAnsi"/>
          <w:sz w:val="28"/>
          <w:szCs w:val="28"/>
        </w:rPr>
      </w:pPr>
      <w:r>
        <w:rPr>
          <w:rFonts w:eastAsia="Times New Roman" w:cstheme="minorHAnsi"/>
          <w:sz w:val="28"/>
          <w:szCs w:val="28"/>
        </w:rPr>
        <w:t xml:space="preserve">Table 6:  </w:t>
      </w:r>
      <w:r w:rsidRPr="00BB0FB7">
        <w:rPr>
          <w:rFonts w:eastAsia="Times New Roman" w:cstheme="minorHAnsi"/>
          <w:sz w:val="28"/>
          <w:szCs w:val="28"/>
        </w:rPr>
        <w:t>Turnover Ratios</w:t>
      </w:r>
    </w:p>
    <w:tbl>
      <w:tblPr>
        <w:tblW w:w="7860" w:type="dxa"/>
        <w:tblInd w:w="93" w:type="dxa"/>
        <w:tblLook w:val="04A0" w:firstRow="1" w:lastRow="0" w:firstColumn="1" w:lastColumn="0" w:noHBand="0" w:noVBand="1"/>
      </w:tblPr>
      <w:tblGrid>
        <w:gridCol w:w="2100"/>
        <w:gridCol w:w="960"/>
        <w:gridCol w:w="960"/>
        <w:gridCol w:w="960"/>
        <w:gridCol w:w="960"/>
        <w:gridCol w:w="960"/>
        <w:gridCol w:w="960"/>
      </w:tblGrid>
      <w:tr w:rsidR="00630F35" w:rsidRPr="00630F35" w:rsidTr="00630F35">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2020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2019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2018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2017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2016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2015</w:t>
            </w:r>
          </w:p>
        </w:tc>
      </w:tr>
      <w:tr w:rsidR="00630F35" w:rsidRPr="00630F35" w:rsidTr="00630F35">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 xml:space="preserve">Inventory turnover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15.55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15.68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12.77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10.04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6.45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12.07 </w:t>
            </w:r>
          </w:p>
        </w:tc>
      </w:tr>
      <w:tr w:rsidR="00630F35" w:rsidRPr="00630F35" w:rsidTr="00630F35">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 xml:space="preserve">Accounts Payable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0.29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0.27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0.22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0.32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0.29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0.29 </w:t>
            </w:r>
          </w:p>
        </w:tc>
      </w:tr>
      <w:tr w:rsidR="00630F35" w:rsidRPr="00630F35" w:rsidTr="00630F35">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630F35" w:rsidRPr="00630F35" w:rsidRDefault="00862219" w:rsidP="00862219">
            <w:pPr>
              <w:spacing w:after="0" w:line="240" w:lineRule="auto"/>
              <w:rPr>
                <w:rFonts w:ascii="Calibri" w:eastAsia="Times New Roman" w:hAnsi="Calibri" w:cs="Calibri"/>
                <w:color w:val="000000"/>
              </w:rPr>
            </w:pPr>
            <w:r>
              <w:rPr>
                <w:rFonts w:ascii="Calibri" w:eastAsia="Times New Roman" w:hAnsi="Calibri" w:cs="Calibri"/>
                <w:color w:val="000000"/>
              </w:rPr>
              <w:t xml:space="preserve">Account </w:t>
            </w:r>
            <w:r w:rsidR="00630F35" w:rsidRPr="00630F35">
              <w:rPr>
                <w:rFonts w:ascii="Calibri" w:eastAsia="Times New Roman" w:hAnsi="Calibri" w:cs="Calibri"/>
                <w:color w:val="000000"/>
              </w:rPr>
              <w:t xml:space="preserve">Receivables </w:t>
            </w:r>
            <w:r>
              <w:rPr>
                <w:rFonts w:ascii="Calibri" w:eastAsia="Times New Roman" w:hAnsi="Calibri" w:cs="Calibri"/>
                <w:color w:val="000000"/>
              </w:rPr>
              <w:t xml:space="preserve"> </w:t>
            </w:r>
            <w:r w:rsidR="00630F35" w:rsidRPr="00630F35">
              <w:rPr>
                <w:rFonts w:ascii="Calibri" w:eastAsia="Times New Roman" w:hAnsi="Calibri" w:cs="Calibri"/>
                <w:color w:val="000000"/>
              </w:rPr>
              <w:t xml:space="preserve">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0.24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0.22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0.16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0.23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0.20 </w:t>
            </w:r>
          </w:p>
        </w:tc>
        <w:tc>
          <w:tcPr>
            <w:tcW w:w="960" w:type="dxa"/>
            <w:tcBorders>
              <w:top w:val="nil"/>
              <w:left w:val="nil"/>
              <w:bottom w:val="single" w:sz="4" w:space="0" w:color="auto"/>
              <w:right w:val="single" w:sz="4" w:space="0" w:color="auto"/>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 xml:space="preserve">          0.18 </w:t>
            </w:r>
          </w:p>
        </w:tc>
      </w:tr>
    </w:tbl>
    <w:p w:rsidR="007A2D28" w:rsidRDefault="007A2D28" w:rsidP="00FD2FBD">
      <w:pPr>
        <w:rPr>
          <w:rFonts w:eastAsia="Times New Roman" w:cstheme="minorHAnsi"/>
          <w:sz w:val="28"/>
          <w:szCs w:val="28"/>
        </w:rPr>
      </w:pPr>
    </w:p>
    <w:p w:rsidR="0078755A" w:rsidRDefault="00C82C43" w:rsidP="0078755A">
      <w:pPr>
        <w:rPr>
          <w:rFonts w:eastAsia="Times New Roman" w:cstheme="minorHAnsi"/>
          <w:sz w:val="28"/>
          <w:szCs w:val="28"/>
        </w:rPr>
      </w:pPr>
      <w:r>
        <w:rPr>
          <w:rFonts w:eastAsia="Times New Roman" w:cstheme="minorHAnsi"/>
          <w:sz w:val="28"/>
          <w:szCs w:val="28"/>
        </w:rPr>
        <w:t>Higher levels are better because it shows how often the company sales inventory, pay suppliers/creditors or turn receivables into cash. The Inventory</w:t>
      </w:r>
      <w:r w:rsidRPr="00C82C43">
        <w:rPr>
          <w:rFonts w:eastAsia="Times New Roman" w:cstheme="minorHAnsi"/>
          <w:sz w:val="28"/>
          <w:szCs w:val="28"/>
        </w:rPr>
        <w:t xml:space="preserve"> turnover</w:t>
      </w:r>
      <w:r>
        <w:rPr>
          <w:rFonts w:eastAsia="Times New Roman" w:cstheme="minorHAnsi"/>
          <w:sz w:val="28"/>
          <w:szCs w:val="28"/>
        </w:rPr>
        <w:t xml:space="preserve"> trend shows improvement over the years.  </w:t>
      </w:r>
      <w:r w:rsidRPr="00C82C43">
        <w:rPr>
          <w:rFonts w:eastAsia="Times New Roman" w:cstheme="minorHAnsi"/>
          <w:sz w:val="28"/>
          <w:szCs w:val="28"/>
        </w:rPr>
        <w:t>Accounts</w:t>
      </w:r>
      <w:r w:rsidR="00862219">
        <w:rPr>
          <w:rFonts w:eastAsia="Times New Roman" w:cstheme="minorHAnsi"/>
          <w:sz w:val="28"/>
          <w:szCs w:val="28"/>
        </w:rPr>
        <w:t xml:space="preserve"> </w:t>
      </w:r>
      <w:r w:rsidRPr="00C82C43">
        <w:rPr>
          <w:rFonts w:eastAsia="Times New Roman" w:cstheme="minorHAnsi"/>
          <w:sz w:val="28"/>
          <w:szCs w:val="28"/>
        </w:rPr>
        <w:t>Payable</w:t>
      </w:r>
      <w:r>
        <w:rPr>
          <w:rFonts w:eastAsia="Times New Roman" w:cstheme="minorHAnsi"/>
          <w:sz w:val="28"/>
          <w:szCs w:val="28"/>
        </w:rPr>
        <w:t xml:space="preserve"> </w:t>
      </w:r>
      <w:r w:rsidR="00862219">
        <w:rPr>
          <w:rFonts w:eastAsia="Times New Roman" w:cstheme="minorHAnsi"/>
          <w:sz w:val="28"/>
          <w:szCs w:val="28"/>
        </w:rPr>
        <w:t>and</w:t>
      </w:r>
      <w:r w:rsidR="00862219" w:rsidRPr="00862219">
        <w:t xml:space="preserve"> </w:t>
      </w:r>
      <w:r w:rsidR="00862219">
        <w:rPr>
          <w:rFonts w:eastAsia="Times New Roman" w:cstheme="minorHAnsi"/>
          <w:sz w:val="28"/>
          <w:szCs w:val="28"/>
        </w:rPr>
        <w:t xml:space="preserve">Account Receivables </w:t>
      </w:r>
      <w:r>
        <w:rPr>
          <w:rFonts w:eastAsia="Times New Roman" w:cstheme="minorHAnsi"/>
          <w:sz w:val="28"/>
          <w:szCs w:val="28"/>
        </w:rPr>
        <w:t>shows a steady</w:t>
      </w:r>
      <w:r w:rsidR="00862219">
        <w:rPr>
          <w:rFonts w:eastAsia="Times New Roman" w:cstheme="minorHAnsi"/>
          <w:sz w:val="28"/>
          <w:szCs w:val="28"/>
        </w:rPr>
        <w:t xml:space="preserve"> level. </w:t>
      </w:r>
      <w:r w:rsidR="0078755A">
        <w:rPr>
          <w:rFonts w:eastAsia="Times New Roman" w:cstheme="minorHAnsi"/>
          <w:sz w:val="28"/>
          <w:szCs w:val="28"/>
        </w:rPr>
        <w:t xml:space="preserve"> However, appendix 1 shows comparison of </w:t>
      </w:r>
      <w:r w:rsidR="0078755A" w:rsidRPr="0078755A">
        <w:rPr>
          <w:rFonts w:eastAsia="Times New Roman" w:cstheme="minorHAnsi"/>
          <w:sz w:val="28"/>
          <w:szCs w:val="28"/>
        </w:rPr>
        <w:t>Marathon Oil Corporation trailing 12 months (TTM)</w:t>
      </w:r>
      <w:r w:rsidR="0078755A">
        <w:rPr>
          <w:rFonts w:eastAsia="Times New Roman" w:cstheme="minorHAnsi"/>
          <w:sz w:val="28"/>
          <w:szCs w:val="28"/>
        </w:rPr>
        <w:t xml:space="preserve"> and the industry average.  Largely, the </w:t>
      </w:r>
      <w:r w:rsidR="0078755A" w:rsidRPr="0078755A">
        <w:rPr>
          <w:rFonts w:eastAsia="Times New Roman" w:cstheme="minorHAnsi"/>
          <w:sz w:val="28"/>
          <w:szCs w:val="28"/>
        </w:rPr>
        <w:t xml:space="preserve">MRO </w:t>
      </w:r>
      <w:r w:rsidR="0078755A">
        <w:rPr>
          <w:rFonts w:eastAsia="Times New Roman" w:cstheme="minorHAnsi"/>
          <w:sz w:val="28"/>
          <w:szCs w:val="28"/>
        </w:rPr>
        <w:t xml:space="preserve">Receivables’ ratio of </w:t>
      </w:r>
      <w:r w:rsidR="0078755A" w:rsidRPr="0078755A">
        <w:rPr>
          <w:rFonts w:eastAsia="Times New Roman" w:cstheme="minorHAnsi"/>
          <w:sz w:val="28"/>
          <w:szCs w:val="28"/>
        </w:rPr>
        <w:t>0.24</w:t>
      </w:r>
      <w:r w:rsidR="009014F8">
        <w:rPr>
          <w:rFonts w:eastAsia="Times New Roman" w:cstheme="minorHAnsi"/>
          <w:sz w:val="28"/>
          <w:szCs w:val="28"/>
        </w:rPr>
        <w:t xml:space="preserve"> is poor than the</w:t>
      </w:r>
      <w:r w:rsidR="0078755A">
        <w:rPr>
          <w:rFonts w:eastAsia="Times New Roman" w:cstheme="minorHAnsi"/>
          <w:sz w:val="28"/>
          <w:szCs w:val="28"/>
        </w:rPr>
        <w:t xml:space="preserve"> industry averages of </w:t>
      </w:r>
      <w:r w:rsidR="009014F8" w:rsidRPr="0078755A">
        <w:rPr>
          <w:rFonts w:eastAsia="Times New Roman" w:cstheme="minorHAnsi"/>
          <w:sz w:val="28"/>
          <w:szCs w:val="28"/>
        </w:rPr>
        <w:t>10.2</w:t>
      </w:r>
      <w:r w:rsidR="009014F8">
        <w:rPr>
          <w:rFonts w:eastAsia="Times New Roman" w:cstheme="minorHAnsi"/>
          <w:sz w:val="28"/>
          <w:szCs w:val="28"/>
        </w:rPr>
        <w:t xml:space="preserve"> while</w:t>
      </w:r>
      <w:r w:rsidR="0078755A">
        <w:rPr>
          <w:rFonts w:eastAsia="Times New Roman" w:cstheme="minorHAnsi"/>
          <w:sz w:val="28"/>
          <w:szCs w:val="28"/>
        </w:rPr>
        <w:t xml:space="preserve"> the</w:t>
      </w:r>
      <w:r w:rsidR="0078755A" w:rsidRPr="0078755A">
        <w:t xml:space="preserve"> </w:t>
      </w:r>
      <w:r w:rsidR="0078755A" w:rsidRPr="0078755A">
        <w:rPr>
          <w:rFonts w:eastAsia="Times New Roman" w:cstheme="minorHAnsi"/>
          <w:sz w:val="28"/>
          <w:szCs w:val="28"/>
        </w:rPr>
        <w:t>MRO</w:t>
      </w:r>
      <w:r w:rsidR="0078755A">
        <w:rPr>
          <w:rFonts w:eastAsia="Times New Roman" w:cstheme="minorHAnsi"/>
          <w:sz w:val="28"/>
          <w:szCs w:val="28"/>
        </w:rPr>
        <w:t xml:space="preserve"> </w:t>
      </w:r>
      <w:r w:rsidR="0078755A" w:rsidRPr="0078755A">
        <w:rPr>
          <w:rFonts w:eastAsia="Times New Roman" w:cstheme="minorHAnsi"/>
          <w:sz w:val="28"/>
          <w:szCs w:val="28"/>
        </w:rPr>
        <w:t>Inventory turnover</w:t>
      </w:r>
      <w:r w:rsidR="0078755A">
        <w:rPr>
          <w:rFonts w:eastAsia="Times New Roman" w:cstheme="minorHAnsi"/>
          <w:sz w:val="28"/>
          <w:szCs w:val="28"/>
        </w:rPr>
        <w:t xml:space="preserve"> </w:t>
      </w:r>
      <w:r w:rsidR="008D6CE9">
        <w:rPr>
          <w:rFonts w:eastAsia="Times New Roman" w:cstheme="minorHAnsi"/>
          <w:sz w:val="28"/>
          <w:szCs w:val="28"/>
        </w:rPr>
        <w:t xml:space="preserve">of </w:t>
      </w:r>
      <w:r w:rsidR="008D6CE9" w:rsidRPr="0078755A">
        <w:rPr>
          <w:rFonts w:eastAsia="Times New Roman" w:cstheme="minorHAnsi"/>
          <w:sz w:val="28"/>
          <w:szCs w:val="28"/>
        </w:rPr>
        <w:t>15.55</w:t>
      </w:r>
      <w:r w:rsidR="0078755A" w:rsidRPr="0078755A">
        <w:rPr>
          <w:rFonts w:eastAsia="Times New Roman" w:cstheme="minorHAnsi"/>
          <w:sz w:val="28"/>
          <w:szCs w:val="28"/>
        </w:rPr>
        <w:t xml:space="preserve"> </w:t>
      </w:r>
      <w:r w:rsidR="0078755A">
        <w:rPr>
          <w:rFonts w:eastAsia="Times New Roman" w:cstheme="minorHAnsi"/>
          <w:sz w:val="28"/>
          <w:szCs w:val="28"/>
        </w:rPr>
        <w:t xml:space="preserve">is better than the industry ratio of </w:t>
      </w:r>
      <w:r w:rsidR="0078755A" w:rsidRPr="0078755A">
        <w:rPr>
          <w:rFonts w:eastAsia="Times New Roman" w:cstheme="minorHAnsi"/>
          <w:sz w:val="28"/>
          <w:szCs w:val="28"/>
        </w:rPr>
        <w:t>12.79</w:t>
      </w:r>
      <w:r w:rsidR="0078755A">
        <w:rPr>
          <w:rFonts w:eastAsia="Times New Roman" w:cstheme="minorHAnsi"/>
          <w:sz w:val="28"/>
          <w:szCs w:val="28"/>
        </w:rPr>
        <w:t xml:space="preserve">. </w:t>
      </w:r>
    </w:p>
    <w:p w:rsidR="0078755A" w:rsidRPr="008D6CE9" w:rsidRDefault="009014F8" w:rsidP="0078755A">
      <w:pPr>
        <w:rPr>
          <w:rFonts w:eastAsia="Times New Roman" w:cstheme="minorHAnsi"/>
          <w:b/>
          <w:sz w:val="28"/>
          <w:szCs w:val="28"/>
        </w:rPr>
      </w:pPr>
      <w:r w:rsidRPr="008D6CE9">
        <w:rPr>
          <w:rFonts w:eastAsia="Times New Roman" w:cstheme="minorHAnsi"/>
          <w:b/>
          <w:sz w:val="28"/>
          <w:szCs w:val="28"/>
        </w:rPr>
        <w:t>Solvency Ratios</w:t>
      </w:r>
    </w:p>
    <w:p w:rsidR="008D6CE9" w:rsidRPr="008D6CE9" w:rsidRDefault="008D6CE9" w:rsidP="008D6CE9">
      <w:pPr>
        <w:rPr>
          <w:rFonts w:eastAsia="Times New Roman" w:cstheme="minorHAnsi"/>
          <w:b/>
          <w:bCs/>
          <w:i/>
          <w:sz w:val="28"/>
          <w:szCs w:val="28"/>
        </w:rPr>
      </w:pPr>
      <w:r w:rsidRPr="008D6CE9">
        <w:rPr>
          <w:rFonts w:eastAsia="Times New Roman" w:cstheme="minorHAnsi"/>
          <w:b/>
          <w:bCs/>
          <w:i/>
          <w:sz w:val="28"/>
          <w:szCs w:val="28"/>
        </w:rPr>
        <w:t>Debt Equity Ratio</w:t>
      </w:r>
    </w:p>
    <w:p w:rsidR="0078755A" w:rsidRDefault="0078755A" w:rsidP="0078755A">
      <w:pPr>
        <w:rPr>
          <w:rFonts w:eastAsia="Times New Roman" w:cstheme="minorHAnsi"/>
          <w:sz w:val="28"/>
          <w:szCs w:val="28"/>
        </w:rPr>
      </w:pPr>
    </w:p>
    <w:tbl>
      <w:tblPr>
        <w:tblStyle w:val="TableGrid"/>
        <w:tblW w:w="0" w:type="auto"/>
        <w:tblLook w:val="04A0" w:firstRow="1" w:lastRow="0" w:firstColumn="1" w:lastColumn="0" w:noHBand="0" w:noVBand="1"/>
      </w:tblPr>
      <w:tblGrid>
        <w:gridCol w:w="1880"/>
        <w:gridCol w:w="1243"/>
        <w:gridCol w:w="855"/>
        <w:gridCol w:w="1080"/>
        <w:gridCol w:w="997"/>
        <w:gridCol w:w="1073"/>
        <w:gridCol w:w="1350"/>
      </w:tblGrid>
      <w:tr w:rsidR="00983493" w:rsidRPr="00983493" w:rsidTr="00983493">
        <w:trPr>
          <w:trHeight w:val="660"/>
        </w:trPr>
        <w:tc>
          <w:tcPr>
            <w:tcW w:w="1880" w:type="dxa"/>
            <w:noWrap/>
            <w:hideMark/>
          </w:tcPr>
          <w:p w:rsidR="00983493" w:rsidRPr="00983493" w:rsidRDefault="00983493">
            <w:pPr>
              <w:rPr>
                <w:rFonts w:eastAsia="Times New Roman" w:cstheme="minorHAnsi"/>
                <w:sz w:val="28"/>
                <w:szCs w:val="28"/>
              </w:rPr>
            </w:pPr>
          </w:p>
        </w:tc>
        <w:tc>
          <w:tcPr>
            <w:tcW w:w="1243" w:type="dxa"/>
            <w:hideMark/>
          </w:tcPr>
          <w:p w:rsidR="00983493" w:rsidRPr="00983493" w:rsidRDefault="00983493" w:rsidP="00983493">
            <w:pPr>
              <w:rPr>
                <w:rFonts w:eastAsia="Times New Roman" w:cstheme="minorHAnsi"/>
                <w:b/>
                <w:bCs/>
                <w:sz w:val="28"/>
                <w:szCs w:val="28"/>
              </w:rPr>
            </w:pPr>
            <w:r w:rsidRPr="00983493">
              <w:rPr>
                <w:rFonts w:eastAsia="Times New Roman" w:cstheme="minorHAnsi"/>
                <w:b/>
                <w:bCs/>
                <w:sz w:val="28"/>
                <w:szCs w:val="28"/>
              </w:rPr>
              <w:t>2020</w:t>
            </w:r>
          </w:p>
        </w:tc>
        <w:tc>
          <w:tcPr>
            <w:tcW w:w="855" w:type="dxa"/>
            <w:hideMark/>
          </w:tcPr>
          <w:p w:rsidR="00983493" w:rsidRPr="00983493" w:rsidRDefault="00983493" w:rsidP="00983493">
            <w:pPr>
              <w:rPr>
                <w:rFonts w:eastAsia="Times New Roman" w:cstheme="minorHAnsi"/>
                <w:b/>
                <w:bCs/>
                <w:sz w:val="28"/>
                <w:szCs w:val="28"/>
              </w:rPr>
            </w:pPr>
            <w:r w:rsidRPr="00983493">
              <w:rPr>
                <w:rFonts w:eastAsia="Times New Roman" w:cstheme="minorHAnsi"/>
                <w:b/>
                <w:bCs/>
                <w:sz w:val="28"/>
                <w:szCs w:val="28"/>
              </w:rPr>
              <w:t>2019</w:t>
            </w:r>
          </w:p>
        </w:tc>
        <w:tc>
          <w:tcPr>
            <w:tcW w:w="1080" w:type="dxa"/>
            <w:hideMark/>
          </w:tcPr>
          <w:p w:rsidR="00983493" w:rsidRPr="00983493" w:rsidRDefault="00983493" w:rsidP="00983493">
            <w:pPr>
              <w:rPr>
                <w:rFonts w:eastAsia="Times New Roman" w:cstheme="minorHAnsi"/>
                <w:b/>
                <w:bCs/>
                <w:sz w:val="28"/>
                <w:szCs w:val="28"/>
              </w:rPr>
            </w:pPr>
            <w:r w:rsidRPr="00983493">
              <w:rPr>
                <w:rFonts w:eastAsia="Times New Roman" w:cstheme="minorHAnsi"/>
                <w:b/>
                <w:bCs/>
                <w:sz w:val="28"/>
                <w:szCs w:val="28"/>
              </w:rPr>
              <w:t>2018</w:t>
            </w:r>
          </w:p>
        </w:tc>
        <w:tc>
          <w:tcPr>
            <w:tcW w:w="997" w:type="dxa"/>
            <w:hideMark/>
          </w:tcPr>
          <w:p w:rsidR="00983493" w:rsidRPr="00983493" w:rsidRDefault="00983493" w:rsidP="00983493">
            <w:pPr>
              <w:rPr>
                <w:rFonts w:eastAsia="Times New Roman" w:cstheme="minorHAnsi"/>
                <w:b/>
                <w:bCs/>
                <w:sz w:val="28"/>
                <w:szCs w:val="28"/>
              </w:rPr>
            </w:pPr>
            <w:r w:rsidRPr="00983493">
              <w:rPr>
                <w:rFonts w:eastAsia="Times New Roman" w:cstheme="minorHAnsi"/>
                <w:b/>
                <w:bCs/>
                <w:sz w:val="28"/>
                <w:szCs w:val="28"/>
              </w:rPr>
              <w:t>2017</w:t>
            </w:r>
          </w:p>
        </w:tc>
        <w:tc>
          <w:tcPr>
            <w:tcW w:w="1073" w:type="dxa"/>
            <w:hideMark/>
          </w:tcPr>
          <w:p w:rsidR="00983493" w:rsidRPr="00983493" w:rsidRDefault="00983493" w:rsidP="00983493">
            <w:pPr>
              <w:rPr>
                <w:rFonts w:eastAsia="Times New Roman" w:cstheme="minorHAnsi"/>
                <w:b/>
                <w:bCs/>
                <w:sz w:val="28"/>
                <w:szCs w:val="28"/>
              </w:rPr>
            </w:pPr>
            <w:r w:rsidRPr="00983493">
              <w:rPr>
                <w:rFonts w:eastAsia="Times New Roman" w:cstheme="minorHAnsi"/>
                <w:b/>
                <w:bCs/>
                <w:sz w:val="28"/>
                <w:szCs w:val="28"/>
              </w:rPr>
              <w:t>2016</w:t>
            </w:r>
          </w:p>
        </w:tc>
        <w:tc>
          <w:tcPr>
            <w:tcW w:w="1350" w:type="dxa"/>
            <w:hideMark/>
          </w:tcPr>
          <w:p w:rsidR="00983493" w:rsidRPr="00983493" w:rsidRDefault="00983493" w:rsidP="00983493">
            <w:pPr>
              <w:rPr>
                <w:rFonts w:eastAsia="Times New Roman" w:cstheme="minorHAnsi"/>
                <w:b/>
                <w:bCs/>
                <w:sz w:val="28"/>
                <w:szCs w:val="28"/>
              </w:rPr>
            </w:pPr>
            <w:r w:rsidRPr="00983493">
              <w:rPr>
                <w:rFonts w:eastAsia="Times New Roman" w:cstheme="minorHAnsi"/>
                <w:b/>
                <w:bCs/>
                <w:sz w:val="28"/>
                <w:szCs w:val="28"/>
              </w:rPr>
              <w:t>2015</w:t>
            </w:r>
          </w:p>
        </w:tc>
      </w:tr>
      <w:tr w:rsidR="00983493" w:rsidRPr="00983493" w:rsidTr="00983493">
        <w:trPr>
          <w:trHeight w:val="660"/>
        </w:trPr>
        <w:tc>
          <w:tcPr>
            <w:tcW w:w="1880" w:type="dxa"/>
            <w:hideMark/>
          </w:tcPr>
          <w:p w:rsidR="00983493" w:rsidRPr="00983493" w:rsidRDefault="00983493">
            <w:pPr>
              <w:rPr>
                <w:rFonts w:eastAsia="Times New Roman" w:cstheme="minorHAnsi"/>
                <w:sz w:val="28"/>
                <w:szCs w:val="28"/>
              </w:rPr>
            </w:pPr>
            <w:r w:rsidRPr="00983493">
              <w:rPr>
                <w:rFonts w:eastAsia="Times New Roman" w:cstheme="minorHAnsi"/>
                <w:sz w:val="28"/>
                <w:szCs w:val="28"/>
              </w:rPr>
              <w:t xml:space="preserve">Debt / Equity Ratio </w:t>
            </w:r>
          </w:p>
        </w:tc>
        <w:tc>
          <w:tcPr>
            <w:tcW w:w="1243"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0.51</w:t>
            </w:r>
          </w:p>
        </w:tc>
        <w:tc>
          <w:tcPr>
            <w:tcW w:w="855"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0.45</w:t>
            </w:r>
          </w:p>
        </w:tc>
        <w:tc>
          <w:tcPr>
            <w:tcW w:w="1080"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0.45</w:t>
            </w:r>
          </w:p>
        </w:tc>
        <w:tc>
          <w:tcPr>
            <w:tcW w:w="997"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0.47</w:t>
            </w:r>
          </w:p>
        </w:tc>
        <w:tc>
          <w:tcPr>
            <w:tcW w:w="1073"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0.41</w:t>
            </w:r>
          </w:p>
        </w:tc>
        <w:tc>
          <w:tcPr>
            <w:tcW w:w="1350"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0.39</w:t>
            </w:r>
          </w:p>
        </w:tc>
      </w:tr>
      <w:tr w:rsidR="00983493" w:rsidRPr="00983493" w:rsidTr="00983493">
        <w:trPr>
          <w:trHeight w:val="330"/>
        </w:trPr>
        <w:tc>
          <w:tcPr>
            <w:tcW w:w="1880" w:type="dxa"/>
            <w:hideMark/>
          </w:tcPr>
          <w:p w:rsidR="00983493" w:rsidRPr="00983493" w:rsidRDefault="00983493">
            <w:pPr>
              <w:rPr>
                <w:rFonts w:eastAsia="Times New Roman" w:cstheme="minorHAnsi"/>
                <w:sz w:val="28"/>
                <w:szCs w:val="28"/>
              </w:rPr>
            </w:pPr>
            <w:r w:rsidRPr="00983493">
              <w:rPr>
                <w:rFonts w:eastAsia="Times New Roman" w:cstheme="minorHAnsi"/>
                <w:sz w:val="28"/>
                <w:szCs w:val="28"/>
              </w:rPr>
              <w:t xml:space="preserve">Debt / FCF Ratio </w:t>
            </w:r>
          </w:p>
        </w:tc>
        <w:tc>
          <w:tcPr>
            <w:tcW w:w="1243"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41.57</w:t>
            </w:r>
          </w:p>
        </w:tc>
        <w:tc>
          <w:tcPr>
            <w:tcW w:w="855"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27.64</w:t>
            </w:r>
          </w:p>
        </w:tc>
        <w:tc>
          <w:tcPr>
            <w:tcW w:w="1080"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11.43</w:t>
            </w:r>
          </w:p>
        </w:tc>
        <w:tc>
          <w:tcPr>
            <w:tcW w:w="997"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392.43</w:t>
            </w:r>
          </w:p>
        </w:tc>
        <w:tc>
          <w:tcPr>
            <w:tcW w:w="1073"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-23.98</w:t>
            </w:r>
          </w:p>
        </w:tc>
        <w:tc>
          <w:tcPr>
            <w:tcW w:w="1350" w:type="dxa"/>
            <w:hideMark/>
          </w:tcPr>
          <w:p w:rsidR="00983493" w:rsidRPr="00983493" w:rsidRDefault="00983493" w:rsidP="00983493">
            <w:pPr>
              <w:rPr>
                <w:rFonts w:eastAsia="Times New Roman" w:cstheme="minorHAnsi"/>
                <w:sz w:val="28"/>
                <w:szCs w:val="28"/>
              </w:rPr>
            </w:pPr>
            <w:r w:rsidRPr="00983493">
              <w:rPr>
                <w:rFonts w:eastAsia="Times New Roman" w:cstheme="minorHAnsi"/>
                <w:sz w:val="28"/>
                <w:szCs w:val="28"/>
              </w:rPr>
              <w:t>-3.81</w:t>
            </w:r>
          </w:p>
        </w:tc>
      </w:tr>
    </w:tbl>
    <w:p w:rsidR="008D6CE9" w:rsidRDefault="00983493" w:rsidP="0078755A">
      <w:pPr>
        <w:rPr>
          <w:rFonts w:eastAsia="Times New Roman" w:cstheme="minorHAnsi"/>
          <w:sz w:val="28"/>
          <w:szCs w:val="28"/>
        </w:rPr>
      </w:pPr>
      <w:r>
        <w:rPr>
          <w:rFonts w:eastAsia="Times New Roman" w:cstheme="minorHAnsi"/>
          <w:sz w:val="28"/>
          <w:szCs w:val="28"/>
        </w:rPr>
        <w:lastRenderedPageBreak/>
        <w:t xml:space="preserve">The trend shows </w:t>
      </w:r>
      <w:r w:rsidRPr="00983493">
        <w:rPr>
          <w:rFonts w:eastAsia="Times New Roman" w:cstheme="minorHAnsi"/>
          <w:sz w:val="28"/>
          <w:szCs w:val="28"/>
        </w:rPr>
        <w:t>Debt / Equity Ratio</w:t>
      </w:r>
      <w:r>
        <w:rPr>
          <w:rFonts w:eastAsia="Times New Roman" w:cstheme="minorHAnsi"/>
          <w:sz w:val="28"/>
          <w:szCs w:val="28"/>
        </w:rPr>
        <w:t xml:space="preserve"> increase in 2020 after a steady level from 2016 to 2019.  This can be attributed to the hard financial times in the year 2020 which caused the company to borrow more. </w:t>
      </w:r>
    </w:p>
    <w:p w:rsidR="008D6CE9" w:rsidRPr="008D6CE9" w:rsidRDefault="008D6CE9" w:rsidP="0078755A">
      <w:pPr>
        <w:rPr>
          <w:rFonts w:eastAsia="Times New Roman" w:cstheme="minorHAnsi"/>
          <w:b/>
          <w:i/>
          <w:sz w:val="28"/>
          <w:szCs w:val="28"/>
        </w:rPr>
      </w:pPr>
      <w:r w:rsidRPr="008D6CE9">
        <w:rPr>
          <w:rFonts w:eastAsia="Times New Roman" w:cstheme="minorHAnsi"/>
          <w:b/>
          <w:i/>
          <w:sz w:val="28"/>
          <w:szCs w:val="28"/>
        </w:rPr>
        <w:t>Financial Leverage</w:t>
      </w:r>
    </w:p>
    <w:tbl>
      <w:tblPr>
        <w:tblW w:w="7860" w:type="dxa"/>
        <w:tblInd w:w="93" w:type="dxa"/>
        <w:tblLook w:val="04A0" w:firstRow="1" w:lastRow="0" w:firstColumn="1" w:lastColumn="0" w:noHBand="0" w:noVBand="1"/>
      </w:tblPr>
      <w:tblGrid>
        <w:gridCol w:w="2100"/>
        <w:gridCol w:w="960"/>
        <w:gridCol w:w="960"/>
        <w:gridCol w:w="960"/>
        <w:gridCol w:w="960"/>
        <w:gridCol w:w="960"/>
        <w:gridCol w:w="960"/>
      </w:tblGrid>
      <w:tr w:rsidR="00983493" w:rsidRPr="00983493" w:rsidTr="00983493">
        <w:trPr>
          <w:trHeight w:val="300"/>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rPr>
                <w:rFonts w:ascii="Calibri" w:eastAsia="Times New Roman" w:hAnsi="Calibri" w:cs="Calibri"/>
                <w:color w:val="000000"/>
              </w:rPr>
            </w:pPr>
            <w:r w:rsidRPr="00983493">
              <w:rPr>
                <w:rFonts w:ascii="Calibri" w:eastAsia="Times New Roman" w:hAnsi="Calibri" w:cs="Calibri"/>
                <w:color w:val="00000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2020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2019</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2018</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2017</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2016</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2015</w:t>
            </w:r>
          </w:p>
        </w:tc>
      </w:tr>
      <w:tr w:rsidR="00983493" w:rsidRPr="00983493" w:rsidTr="00983493">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rPr>
                <w:rFonts w:ascii="Calibri" w:eastAsia="Times New Roman" w:hAnsi="Calibri" w:cs="Calibri"/>
                <w:b/>
                <w:bCs/>
                <w:color w:val="000000"/>
              </w:rPr>
            </w:pPr>
            <w:r w:rsidRPr="00983493">
              <w:rPr>
                <w:rFonts w:ascii="Calibri" w:eastAsia="Times New Roman" w:hAnsi="Calibri" w:cs="Calibri"/>
                <w:b/>
                <w:bCs/>
                <w:color w:val="000000"/>
              </w:rPr>
              <w:t xml:space="preserve">Total Assets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17,956</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20,245</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21,321</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22,012</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31,094</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32,311</w:t>
            </w:r>
          </w:p>
        </w:tc>
      </w:tr>
      <w:tr w:rsidR="00983493" w:rsidRPr="00983493" w:rsidTr="00983493">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rPr>
                <w:rFonts w:ascii="Calibri" w:eastAsia="Times New Roman" w:hAnsi="Calibri" w:cs="Calibri"/>
                <w:b/>
                <w:bCs/>
                <w:color w:val="000000"/>
              </w:rPr>
            </w:pPr>
            <w:r w:rsidRPr="00983493">
              <w:rPr>
                <w:rFonts w:ascii="Calibri" w:eastAsia="Times New Roman" w:hAnsi="Calibri" w:cs="Calibri"/>
                <w:b/>
                <w:bCs/>
                <w:color w:val="000000"/>
              </w:rPr>
              <w:t xml:space="preserve">Shareholders' Equity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10,561</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12,153</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12,128</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11,708</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17,541</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jc w:val="center"/>
              <w:rPr>
                <w:rFonts w:ascii="Calibri" w:eastAsia="Times New Roman" w:hAnsi="Calibri" w:cs="Calibri"/>
                <w:color w:val="000000"/>
              </w:rPr>
            </w:pPr>
            <w:r w:rsidRPr="00983493">
              <w:rPr>
                <w:rFonts w:ascii="Calibri" w:eastAsia="Times New Roman" w:hAnsi="Calibri" w:cs="Calibri"/>
                <w:color w:val="000000"/>
              </w:rPr>
              <w:t>18,553</w:t>
            </w:r>
          </w:p>
        </w:tc>
      </w:tr>
      <w:tr w:rsidR="00983493" w:rsidRPr="00983493" w:rsidTr="00983493">
        <w:trPr>
          <w:trHeight w:val="300"/>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rPr>
                <w:rFonts w:ascii="Calibri" w:eastAsia="Times New Roman" w:hAnsi="Calibri" w:cs="Calibri"/>
                <w:color w:val="000000"/>
              </w:rPr>
            </w:pPr>
            <w:r w:rsidRPr="00983493">
              <w:rPr>
                <w:rFonts w:ascii="Calibri" w:eastAsia="Times New Roman" w:hAnsi="Calibri" w:cs="Calibri"/>
                <w:color w:val="000000"/>
              </w:rPr>
              <w:t>Total Assets/Equity</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rPr>
                <w:rFonts w:ascii="Calibri" w:eastAsia="Times New Roman" w:hAnsi="Calibri" w:cs="Calibri"/>
                <w:color w:val="000000"/>
              </w:rPr>
            </w:pPr>
            <w:r w:rsidRPr="00983493">
              <w:rPr>
                <w:rFonts w:ascii="Calibri" w:eastAsia="Times New Roman" w:hAnsi="Calibri" w:cs="Calibri"/>
                <w:color w:val="000000"/>
              </w:rPr>
              <w:t xml:space="preserve">          1.70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rPr>
                <w:rFonts w:ascii="Calibri" w:eastAsia="Times New Roman" w:hAnsi="Calibri" w:cs="Calibri"/>
                <w:color w:val="000000"/>
              </w:rPr>
            </w:pPr>
            <w:r w:rsidRPr="00983493">
              <w:rPr>
                <w:rFonts w:ascii="Calibri" w:eastAsia="Times New Roman" w:hAnsi="Calibri" w:cs="Calibri"/>
                <w:color w:val="000000"/>
              </w:rPr>
              <w:t xml:space="preserve">          1.67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rPr>
                <w:rFonts w:ascii="Calibri" w:eastAsia="Times New Roman" w:hAnsi="Calibri" w:cs="Calibri"/>
                <w:color w:val="000000"/>
              </w:rPr>
            </w:pPr>
            <w:r w:rsidRPr="00983493">
              <w:rPr>
                <w:rFonts w:ascii="Calibri" w:eastAsia="Times New Roman" w:hAnsi="Calibri" w:cs="Calibri"/>
                <w:color w:val="000000"/>
              </w:rPr>
              <w:t xml:space="preserve">          1.76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rPr>
                <w:rFonts w:ascii="Calibri" w:eastAsia="Times New Roman" w:hAnsi="Calibri" w:cs="Calibri"/>
                <w:color w:val="000000"/>
              </w:rPr>
            </w:pPr>
            <w:r w:rsidRPr="00983493">
              <w:rPr>
                <w:rFonts w:ascii="Calibri" w:eastAsia="Times New Roman" w:hAnsi="Calibri" w:cs="Calibri"/>
                <w:color w:val="000000"/>
              </w:rPr>
              <w:t xml:space="preserve">          1.88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rPr>
                <w:rFonts w:ascii="Calibri" w:eastAsia="Times New Roman" w:hAnsi="Calibri" w:cs="Calibri"/>
                <w:color w:val="000000"/>
              </w:rPr>
            </w:pPr>
            <w:r w:rsidRPr="00983493">
              <w:rPr>
                <w:rFonts w:ascii="Calibri" w:eastAsia="Times New Roman" w:hAnsi="Calibri" w:cs="Calibri"/>
                <w:color w:val="000000"/>
              </w:rPr>
              <w:t xml:space="preserve">          1.77 </w:t>
            </w:r>
          </w:p>
        </w:tc>
        <w:tc>
          <w:tcPr>
            <w:tcW w:w="960" w:type="dxa"/>
            <w:tcBorders>
              <w:top w:val="nil"/>
              <w:left w:val="nil"/>
              <w:bottom w:val="single" w:sz="4" w:space="0" w:color="auto"/>
              <w:right w:val="single" w:sz="4" w:space="0" w:color="auto"/>
            </w:tcBorders>
            <w:shd w:val="clear" w:color="auto" w:fill="auto"/>
            <w:noWrap/>
            <w:vAlign w:val="bottom"/>
            <w:hideMark/>
          </w:tcPr>
          <w:p w:rsidR="00983493" w:rsidRPr="00983493" w:rsidRDefault="00983493" w:rsidP="00983493">
            <w:pPr>
              <w:spacing w:after="0" w:line="240" w:lineRule="auto"/>
              <w:rPr>
                <w:rFonts w:ascii="Calibri" w:eastAsia="Times New Roman" w:hAnsi="Calibri" w:cs="Calibri"/>
                <w:color w:val="000000"/>
              </w:rPr>
            </w:pPr>
            <w:r w:rsidRPr="00983493">
              <w:rPr>
                <w:rFonts w:ascii="Calibri" w:eastAsia="Times New Roman" w:hAnsi="Calibri" w:cs="Calibri"/>
                <w:color w:val="000000"/>
              </w:rPr>
              <w:t xml:space="preserve">          1.74 </w:t>
            </w:r>
          </w:p>
        </w:tc>
      </w:tr>
    </w:tbl>
    <w:p w:rsidR="008D6CE9" w:rsidRDefault="008D6CE9" w:rsidP="0078755A">
      <w:pPr>
        <w:rPr>
          <w:rFonts w:eastAsia="Times New Roman" w:cstheme="minorHAnsi"/>
          <w:sz w:val="28"/>
          <w:szCs w:val="28"/>
        </w:rPr>
      </w:pPr>
    </w:p>
    <w:p w:rsidR="008D6CE9" w:rsidRDefault="00AC6B39" w:rsidP="0078755A">
      <w:pPr>
        <w:rPr>
          <w:rFonts w:eastAsia="Times New Roman" w:cstheme="minorHAnsi"/>
          <w:sz w:val="28"/>
          <w:szCs w:val="28"/>
        </w:rPr>
      </w:pPr>
      <w:r>
        <w:rPr>
          <w:rFonts w:eastAsia="Times New Roman" w:cstheme="minorHAnsi"/>
          <w:sz w:val="28"/>
          <w:szCs w:val="28"/>
        </w:rPr>
        <w:t xml:space="preserve">The </w:t>
      </w:r>
      <w:r w:rsidRPr="00AC6B39">
        <w:rPr>
          <w:rFonts w:eastAsia="Times New Roman" w:cstheme="minorHAnsi"/>
          <w:sz w:val="28"/>
          <w:szCs w:val="28"/>
        </w:rPr>
        <w:t>Financial Leverage</w:t>
      </w:r>
      <w:r>
        <w:rPr>
          <w:rFonts w:eastAsia="Times New Roman" w:cstheme="minorHAnsi"/>
          <w:sz w:val="28"/>
          <w:szCs w:val="28"/>
        </w:rPr>
        <w:t xml:space="preserve"> refers to the</w:t>
      </w:r>
      <w:r w:rsidRPr="00AC6B39">
        <w:rPr>
          <w:rFonts w:eastAsia="Times New Roman" w:cstheme="minorHAnsi"/>
          <w:sz w:val="28"/>
          <w:szCs w:val="28"/>
        </w:rPr>
        <w:t xml:space="preserve"> debt a firm uses to finance</w:t>
      </w:r>
      <w:r>
        <w:rPr>
          <w:rFonts w:eastAsia="Times New Roman" w:cstheme="minorHAnsi"/>
          <w:sz w:val="28"/>
          <w:szCs w:val="28"/>
        </w:rPr>
        <w:t xml:space="preserve"> its</w:t>
      </w:r>
      <w:r w:rsidRPr="00AC6B39">
        <w:rPr>
          <w:rFonts w:eastAsia="Times New Roman" w:cstheme="minorHAnsi"/>
          <w:sz w:val="28"/>
          <w:szCs w:val="28"/>
        </w:rPr>
        <w:t xml:space="preserve"> assets.</w:t>
      </w:r>
      <w:r>
        <w:rPr>
          <w:rFonts w:eastAsia="Times New Roman" w:cstheme="minorHAnsi"/>
          <w:sz w:val="28"/>
          <w:szCs w:val="28"/>
        </w:rPr>
        <w:t xml:space="preserve"> </w:t>
      </w:r>
      <w:r w:rsidRPr="00AC6B39">
        <w:rPr>
          <w:rFonts w:eastAsia="Times New Roman" w:cstheme="minorHAnsi"/>
          <w:sz w:val="28"/>
          <w:szCs w:val="28"/>
        </w:rPr>
        <w:t>The Financial Leverage</w:t>
      </w:r>
      <w:r>
        <w:rPr>
          <w:rFonts w:eastAsia="Times New Roman" w:cstheme="minorHAnsi"/>
          <w:sz w:val="28"/>
          <w:szCs w:val="28"/>
        </w:rPr>
        <w:t xml:space="preserve"> for </w:t>
      </w:r>
      <w:r w:rsidRPr="00AC6B39">
        <w:rPr>
          <w:rFonts w:eastAsia="Times New Roman" w:cstheme="minorHAnsi"/>
          <w:sz w:val="28"/>
          <w:szCs w:val="28"/>
        </w:rPr>
        <w:t>MRO</w:t>
      </w:r>
      <w:r>
        <w:rPr>
          <w:rFonts w:eastAsia="Times New Roman" w:cstheme="minorHAnsi"/>
          <w:sz w:val="28"/>
          <w:szCs w:val="28"/>
        </w:rPr>
        <w:t xml:space="preserve"> remains steady near 1.7.  This average ratio is relatively high and can be considered a risky level by </w:t>
      </w:r>
      <w:r w:rsidRPr="00AC6B39">
        <w:rPr>
          <w:rFonts w:eastAsia="Times New Roman" w:cstheme="minorHAnsi"/>
          <w:sz w:val="28"/>
          <w:szCs w:val="28"/>
        </w:rPr>
        <w:t>potential investors</w:t>
      </w:r>
      <w:r>
        <w:rPr>
          <w:rFonts w:eastAsia="Times New Roman" w:cstheme="minorHAnsi"/>
          <w:sz w:val="28"/>
          <w:szCs w:val="28"/>
        </w:rPr>
        <w:t xml:space="preserve"> and lenders. </w:t>
      </w:r>
    </w:p>
    <w:p w:rsidR="00336C07" w:rsidRPr="00336C07" w:rsidRDefault="00336C07" w:rsidP="00336C07">
      <w:pPr>
        <w:rPr>
          <w:rFonts w:eastAsia="Times New Roman" w:cstheme="minorHAnsi"/>
          <w:b/>
          <w:sz w:val="28"/>
          <w:szCs w:val="28"/>
        </w:rPr>
      </w:pPr>
      <w:r w:rsidRPr="00336C07">
        <w:rPr>
          <w:rFonts w:eastAsia="Times New Roman" w:cstheme="minorHAnsi"/>
          <w:b/>
          <w:sz w:val="28"/>
          <w:szCs w:val="28"/>
        </w:rPr>
        <w:t>Valuation for Marathon Oil Corporation</w:t>
      </w:r>
    </w:p>
    <w:p w:rsidR="00336C07" w:rsidRPr="00336C07" w:rsidRDefault="00336C07" w:rsidP="00336C07">
      <w:pPr>
        <w:rPr>
          <w:rFonts w:eastAsia="Times New Roman" w:cstheme="minorHAnsi"/>
          <w:sz w:val="28"/>
          <w:szCs w:val="28"/>
        </w:rPr>
      </w:pPr>
      <w:r w:rsidRPr="00336C07">
        <w:rPr>
          <w:rFonts w:eastAsia="Times New Roman" w:cstheme="minorHAnsi"/>
          <w:sz w:val="28"/>
          <w:szCs w:val="28"/>
        </w:rPr>
        <w:t>Discounted Cash Flow Model</w:t>
      </w:r>
      <w:r w:rsidRPr="00336C07">
        <w:t xml:space="preserve"> </w:t>
      </w:r>
      <w:r w:rsidRPr="00336C07">
        <w:rPr>
          <w:rFonts w:eastAsia="Times New Roman" w:cstheme="minorHAnsi"/>
          <w:sz w:val="28"/>
          <w:szCs w:val="28"/>
        </w:rPr>
        <w:t>Calculation</w:t>
      </w:r>
    </w:p>
    <w:p w:rsidR="00AC6B39" w:rsidRDefault="00336C07" w:rsidP="00336C07">
      <w:pPr>
        <w:rPr>
          <w:rFonts w:eastAsia="Times New Roman" w:cstheme="minorHAnsi"/>
          <w:sz w:val="28"/>
          <w:szCs w:val="28"/>
        </w:rPr>
      </w:pPr>
      <w:r>
        <w:rPr>
          <w:rFonts w:eastAsia="Times New Roman" w:cstheme="minorHAnsi"/>
          <w:sz w:val="28"/>
          <w:szCs w:val="28"/>
        </w:rPr>
        <w:t xml:space="preserve">The </w:t>
      </w:r>
      <w:r w:rsidRPr="00336C07">
        <w:rPr>
          <w:rFonts w:eastAsia="Times New Roman" w:cstheme="minorHAnsi"/>
          <w:sz w:val="28"/>
          <w:szCs w:val="28"/>
        </w:rPr>
        <w:t>DCF Value</w:t>
      </w:r>
      <w:r>
        <w:rPr>
          <w:rFonts w:eastAsia="Times New Roman" w:cstheme="minorHAnsi"/>
          <w:sz w:val="28"/>
          <w:szCs w:val="28"/>
        </w:rPr>
        <w:t xml:space="preserve"> is calculated </w:t>
      </w:r>
      <w:r w:rsidRPr="00336C07">
        <w:rPr>
          <w:rFonts w:eastAsia="Times New Roman" w:cstheme="minorHAnsi"/>
          <w:sz w:val="28"/>
          <w:szCs w:val="28"/>
        </w:rPr>
        <w:t xml:space="preserve">by forecasting </w:t>
      </w:r>
      <w:r>
        <w:rPr>
          <w:rFonts w:eastAsia="Times New Roman" w:cstheme="minorHAnsi"/>
          <w:sz w:val="28"/>
          <w:szCs w:val="28"/>
        </w:rPr>
        <w:t xml:space="preserve">or estimating </w:t>
      </w:r>
      <w:r w:rsidRPr="00336C07">
        <w:rPr>
          <w:rFonts w:eastAsia="Times New Roman" w:cstheme="minorHAnsi"/>
          <w:sz w:val="28"/>
          <w:szCs w:val="28"/>
        </w:rPr>
        <w:t>future free cash flow and discounting</w:t>
      </w:r>
      <w:r>
        <w:rPr>
          <w:rFonts w:eastAsia="Times New Roman" w:cstheme="minorHAnsi"/>
          <w:sz w:val="28"/>
          <w:szCs w:val="28"/>
        </w:rPr>
        <w:t xml:space="preserve"> the same </w:t>
      </w:r>
      <w:r w:rsidRPr="00336C07">
        <w:rPr>
          <w:rFonts w:eastAsia="Times New Roman" w:cstheme="minorHAnsi"/>
          <w:sz w:val="28"/>
          <w:szCs w:val="28"/>
        </w:rPr>
        <w:t>at selected Discount Rate</w:t>
      </w:r>
      <w:r>
        <w:rPr>
          <w:rFonts w:eastAsia="Times New Roman" w:cstheme="minorHAnsi"/>
          <w:sz w:val="28"/>
          <w:szCs w:val="28"/>
        </w:rPr>
        <w:t xml:space="preserve"> as in the table below</w:t>
      </w:r>
      <w:r w:rsidRPr="00336C07">
        <w:rPr>
          <w:rFonts w:eastAsia="Times New Roman" w:cstheme="minorHAnsi"/>
          <w:sz w:val="28"/>
          <w:szCs w:val="28"/>
        </w:rPr>
        <w:t>.</w:t>
      </w:r>
      <w:r>
        <w:rPr>
          <w:rFonts w:eastAsia="Times New Roman" w:cstheme="minorHAnsi"/>
          <w:sz w:val="28"/>
          <w:szCs w:val="28"/>
        </w:rPr>
        <w:t xml:space="preserve"> The calculation </w:t>
      </w:r>
      <w:r w:rsidR="00864178">
        <w:rPr>
          <w:rFonts w:eastAsia="Times New Roman" w:cstheme="minorHAnsi"/>
          <w:sz w:val="28"/>
          <w:szCs w:val="28"/>
        </w:rPr>
        <w:t>uses a</w:t>
      </w:r>
      <w:r>
        <w:rPr>
          <w:rFonts w:eastAsia="Times New Roman" w:cstheme="minorHAnsi"/>
          <w:sz w:val="28"/>
          <w:szCs w:val="28"/>
        </w:rPr>
        <w:t xml:space="preserve"> </w:t>
      </w:r>
      <w:r w:rsidRPr="00336C07">
        <w:rPr>
          <w:rFonts w:eastAsia="Times New Roman" w:cstheme="minorHAnsi"/>
          <w:sz w:val="28"/>
          <w:szCs w:val="28"/>
        </w:rPr>
        <w:t>Discount Rate</w:t>
      </w:r>
      <w:r>
        <w:rPr>
          <w:rFonts w:eastAsia="Times New Roman" w:cstheme="minorHAnsi"/>
          <w:sz w:val="28"/>
          <w:szCs w:val="28"/>
        </w:rPr>
        <w:t xml:space="preserve"> of </w:t>
      </w:r>
      <w:r w:rsidRPr="00336C07">
        <w:rPr>
          <w:rFonts w:eastAsia="Times New Roman" w:cstheme="minorHAnsi"/>
          <w:sz w:val="28"/>
          <w:szCs w:val="28"/>
        </w:rPr>
        <w:t>7.80</w:t>
      </w:r>
      <w:r w:rsidR="00D63DE6" w:rsidRPr="00336C07">
        <w:rPr>
          <w:rFonts w:eastAsia="Times New Roman" w:cstheme="minorHAnsi"/>
          <w:sz w:val="28"/>
          <w:szCs w:val="28"/>
        </w:rPr>
        <w:t>%</w:t>
      </w:r>
      <w:r w:rsidR="00D63DE6">
        <w:rPr>
          <w:rFonts w:eastAsia="Times New Roman" w:cstheme="minorHAnsi"/>
          <w:sz w:val="28"/>
          <w:szCs w:val="28"/>
        </w:rPr>
        <w:t xml:space="preserve"> and</w:t>
      </w:r>
      <w:r w:rsidR="004C32E6">
        <w:rPr>
          <w:rFonts w:eastAsia="Times New Roman" w:cstheme="minorHAnsi"/>
          <w:sz w:val="28"/>
          <w:szCs w:val="28"/>
        </w:rPr>
        <w:t xml:space="preserve"> 10% </w:t>
      </w:r>
      <w:r>
        <w:rPr>
          <w:rFonts w:eastAsia="Times New Roman" w:cstheme="minorHAnsi"/>
          <w:sz w:val="28"/>
          <w:szCs w:val="28"/>
        </w:rPr>
        <w:t xml:space="preserve">to show present values and the </w:t>
      </w:r>
      <w:r w:rsidR="00864178">
        <w:rPr>
          <w:rFonts w:eastAsia="Times New Roman" w:cstheme="minorHAnsi"/>
          <w:sz w:val="28"/>
          <w:szCs w:val="28"/>
        </w:rPr>
        <w:t>rate can be adjusted to show sensitivity</w:t>
      </w:r>
    </w:p>
    <w:tbl>
      <w:tblPr>
        <w:tblW w:w="9735" w:type="dxa"/>
        <w:tblInd w:w="93" w:type="dxa"/>
        <w:tblLook w:val="04A0" w:firstRow="1" w:lastRow="0" w:firstColumn="1" w:lastColumn="0" w:noHBand="0" w:noVBand="1"/>
      </w:tblPr>
      <w:tblGrid>
        <w:gridCol w:w="2419"/>
        <w:gridCol w:w="1278"/>
        <w:gridCol w:w="1278"/>
        <w:gridCol w:w="1278"/>
        <w:gridCol w:w="1278"/>
        <w:gridCol w:w="1278"/>
        <w:gridCol w:w="1346"/>
      </w:tblGrid>
      <w:tr w:rsidR="00095B81" w:rsidRPr="00095B81" w:rsidTr="00095B81">
        <w:trPr>
          <w:trHeight w:val="300"/>
        </w:trPr>
        <w:tc>
          <w:tcPr>
            <w:tcW w:w="24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12/31/2021</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12/31/2022</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12/31/2023</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12/31/2024</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12/31/2025</w:t>
            </w:r>
          </w:p>
        </w:tc>
        <w:tc>
          <w:tcPr>
            <w:tcW w:w="1346" w:type="dxa"/>
            <w:tcBorders>
              <w:top w:val="single" w:sz="4" w:space="0" w:color="auto"/>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xml:space="preserve">Terminal </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forecasted</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forecasted</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forecasted</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forecasted</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forecasted</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forecasted</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NET INCOME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Revenue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4,893</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5,030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4,662</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4,811</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4,940</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5,045</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Net Margin</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16.44%</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18.31%</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15.84%</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16.37%</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16.91%</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17.44%</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Net Income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804</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921</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738</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788</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835</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880</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FREE CASH FLOW TO EQUITY</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Net </w:t>
            </w:r>
            <w:proofErr w:type="spellStart"/>
            <w:r w:rsidRPr="00095B81">
              <w:rPr>
                <w:rFonts w:ascii="Calibri" w:eastAsia="Times New Roman" w:hAnsi="Calibri" w:cs="Calibri"/>
                <w:color w:val="000000"/>
              </w:rPr>
              <w:t>CapEx</w:t>
            </w:r>
            <w:proofErr w:type="spellEnd"/>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917</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851</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703</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638</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565</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485</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Debt Ratio</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50.66%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50.66%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50.66%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50.66%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50.66%</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50.66%</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Net </w:t>
            </w:r>
            <w:proofErr w:type="spellStart"/>
            <w:r w:rsidRPr="00095B81">
              <w:rPr>
                <w:rFonts w:ascii="Calibri" w:eastAsia="Times New Roman" w:hAnsi="Calibri" w:cs="Calibri"/>
                <w:color w:val="000000"/>
              </w:rPr>
              <w:t>CapEx</w:t>
            </w:r>
            <w:proofErr w:type="spellEnd"/>
            <w:r w:rsidRPr="00095B81">
              <w:rPr>
                <w:rFonts w:ascii="Calibri" w:eastAsia="Times New Roman" w:hAnsi="Calibri" w:cs="Calibri"/>
                <w:color w:val="000000"/>
              </w:rPr>
              <w:t xml:space="preserve"> Financed by Equity</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452</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420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347</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315</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279</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239</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FCFE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1,257</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1,341</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1,085</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1,102</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1,114</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1,119</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lastRenderedPageBreak/>
              <w:t>PRESENT VALUE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 </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Discount Rate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7.80%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7.80%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7.80%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7.80%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7.80%</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7.80%</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Present Value (7.8%)</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1,166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1,154</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866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816</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765</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9,855</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Discount Rate</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10.00%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10.00%</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jc w:val="center"/>
              <w:rPr>
                <w:rFonts w:ascii="Calibri" w:eastAsia="Times New Roman" w:hAnsi="Calibri" w:cs="Calibri"/>
                <w:color w:val="000000"/>
              </w:rPr>
            </w:pPr>
            <w:r w:rsidRPr="00095B81">
              <w:rPr>
                <w:rFonts w:ascii="Calibri" w:eastAsia="Times New Roman" w:hAnsi="Calibri" w:cs="Calibri"/>
                <w:color w:val="000000"/>
              </w:rPr>
              <w:t>10.00%</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Discount factor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               0.91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                0.83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              0.75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                0.68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             0.62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w:t>
            </w:r>
          </w:p>
        </w:tc>
      </w:tr>
      <w:tr w:rsidR="00095B81" w:rsidRPr="00095B81" w:rsidTr="00095B81">
        <w:trPr>
          <w:trHeight w:val="300"/>
        </w:trPr>
        <w:tc>
          <w:tcPr>
            <w:tcW w:w="2419" w:type="dxa"/>
            <w:tcBorders>
              <w:top w:val="nil"/>
              <w:left w:val="single" w:sz="4" w:space="0" w:color="auto"/>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Present Value (10%)</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       1,142.73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       1,108.26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         815.18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           752.68 </w:t>
            </w:r>
          </w:p>
        </w:tc>
        <w:tc>
          <w:tcPr>
            <w:tcW w:w="1194"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         691.71 </w:t>
            </w:r>
          </w:p>
        </w:tc>
        <w:tc>
          <w:tcPr>
            <w:tcW w:w="1346" w:type="dxa"/>
            <w:tcBorders>
              <w:top w:val="nil"/>
              <w:left w:val="nil"/>
              <w:bottom w:val="single" w:sz="4" w:space="0" w:color="auto"/>
              <w:right w:val="single" w:sz="4" w:space="0" w:color="auto"/>
            </w:tcBorders>
            <w:shd w:val="clear" w:color="auto" w:fill="auto"/>
            <w:noWrap/>
            <w:vAlign w:val="bottom"/>
            <w:hideMark/>
          </w:tcPr>
          <w:p w:rsidR="00095B81" w:rsidRPr="00095B81" w:rsidRDefault="00095B81" w:rsidP="00095B81">
            <w:pPr>
              <w:spacing w:after="0" w:line="240" w:lineRule="auto"/>
              <w:rPr>
                <w:rFonts w:ascii="Calibri" w:eastAsia="Times New Roman" w:hAnsi="Calibri" w:cs="Calibri"/>
                <w:color w:val="000000"/>
              </w:rPr>
            </w:pPr>
            <w:r w:rsidRPr="00095B81">
              <w:rPr>
                <w:rFonts w:ascii="Calibri" w:eastAsia="Times New Roman" w:hAnsi="Calibri" w:cs="Calibri"/>
                <w:color w:val="000000"/>
              </w:rPr>
              <w:t xml:space="preserve">     4,510.56 </w:t>
            </w:r>
          </w:p>
        </w:tc>
      </w:tr>
    </w:tbl>
    <w:p w:rsidR="00626D78" w:rsidRPr="00626D78" w:rsidRDefault="00626D78" w:rsidP="00626D78">
      <w:pPr>
        <w:rPr>
          <w:rFonts w:eastAsia="Times New Roman" w:cstheme="minorHAnsi"/>
          <w:sz w:val="28"/>
          <w:szCs w:val="28"/>
        </w:rPr>
      </w:pPr>
    </w:p>
    <w:p w:rsidR="00626D78" w:rsidRPr="00626D78" w:rsidRDefault="00626D78" w:rsidP="00626D78">
      <w:pPr>
        <w:rPr>
          <w:rFonts w:eastAsia="Times New Roman" w:cstheme="minorHAnsi"/>
          <w:b/>
          <w:bCs/>
          <w:sz w:val="28"/>
          <w:szCs w:val="28"/>
        </w:rPr>
      </w:pPr>
      <w:r w:rsidRPr="00626D78">
        <w:rPr>
          <w:rFonts w:eastAsia="Times New Roman" w:cstheme="minorHAnsi"/>
          <w:b/>
          <w:bCs/>
          <w:sz w:val="28"/>
          <w:szCs w:val="28"/>
        </w:rPr>
        <w:t>Marathon Valuation Trend</w:t>
      </w:r>
    </w:p>
    <w:p w:rsidR="00626D78" w:rsidRPr="00626D78" w:rsidRDefault="00EC411F" w:rsidP="00D63DE6">
      <w:pPr>
        <w:ind w:firstLine="720"/>
        <w:rPr>
          <w:rFonts w:eastAsia="Times New Roman" w:cstheme="minorHAnsi"/>
          <w:sz w:val="28"/>
          <w:szCs w:val="28"/>
        </w:rPr>
      </w:pPr>
      <w:r>
        <w:rPr>
          <w:rFonts w:eastAsia="Times New Roman" w:cstheme="minorHAnsi"/>
          <w:sz w:val="28"/>
          <w:szCs w:val="28"/>
        </w:rPr>
        <w:t>Investors need to know Marathon Oil's actual value</w:t>
      </w:r>
      <w:r w:rsidR="00626D78" w:rsidRPr="00626D78">
        <w:rPr>
          <w:rFonts w:eastAsia="Times New Roman" w:cstheme="minorHAnsi"/>
          <w:sz w:val="28"/>
          <w:szCs w:val="28"/>
        </w:rPr>
        <w:t xml:space="preserve"> for </w:t>
      </w:r>
      <w:r>
        <w:rPr>
          <w:rFonts w:eastAsia="Times New Roman" w:cstheme="minorHAnsi"/>
          <w:sz w:val="28"/>
          <w:szCs w:val="28"/>
        </w:rPr>
        <w:t xml:space="preserve">then </w:t>
      </w:r>
      <w:r w:rsidR="00626D78" w:rsidRPr="00626D78">
        <w:rPr>
          <w:rFonts w:eastAsia="Times New Roman" w:cstheme="minorHAnsi"/>
          <w:sz w:val="28"/>
          <w:szCs w:val="28"/>
        </w:rPr>
        <w:t xml:space="preserve">to make sound investment </w:t>
      </w:r>
      <w:r>
        <w:rPr>
          <w:rFonts w:eastAsia="Times New Roman" w:cstheme="minorHAnsi"/>
          <w:sz w:val="28"/>
          <w:szCs w:val="28"/>
        </w:rPr>
        <w:t>decisions</w:t>
      </w:r>
      <w:r w:rsidR="00626D78" w:rsidRPr="00626D78">
        <w:rPr>
          <w:rFonts w:eastAsia="Times New Roman" w:cstheme="minorHAnsi"/>
          <w:sz w:val="28"/>
          <w:szCs w:val="28"/>
        </w:rPr>
        <w:t xml:space="preserve">. </w:t>
      </w:r>
      <w:r>
        <w:rPr>
          <w:rFonts w:eastAsia="Times New Roman" w:cstheme="minorHAnsi"/>
          <w:sz w:val="28"/>
          <w:szCs w:val="28"/>
        </w:rPr>
        <w:t xml:space="preserve">The </w:t>
      </w:r>
      <w:r w:rsidR="00626D78" w:rsidRPr="00626D78">
        <w:rPr>
          <w:rFonts w:eastAsia="Times New Roman" w:cstheme="minorHAnsi"/>
          <w:sz w:val="28"/>
          <w:szCs w:val="28"/>
        </w:rPr>
        <w:t xml:space="preserve">real value </w:t>
      </w:r>
      <w:r>
        <w:rPr>
          <w:rFonts w:eastAsia="Times New Roman" w:cstheme="minorHAnsi"/>
          <w:sz w:val="28"/>
          <w:szCs w:val="28"/>
        </w:rPr>
        <w:t xml:space="preserve">provides </w:t>
      </w:r>
      <w:r w:rsidR="00626D78" w:rsidRPr="00626D78">
        <w:rPr>
          <w:rFonts w:eastAsia="Times New Roman" w:cstheme="minorHAnsi"/>
          <w:sz w:val="28"/>
          <w:szCs w:val="28"/>
        </w:rPr>
        <w:t xml:space="preserve">a more accurate </w:t>
      </w:r>
      <w:r w:rsidRPr="00626D78">
        <w:rPr>
          <w:rFonts w:eastAsia="Times New Roman" w:cstheme="minorHAnsi"/>
          <w:sz w:val="28"/>
          <w:szCs w:val="28"/>
        </w:rPr>
        <w:t>general</w:t>
      </w:r>
      <w:r w:rsidR="00626D78" w:rsidRPr="00626D78">
        <w:rPr>
          <w:rFonts w:eastAsia="Times New Roman" w:cstheme="minorHAnsi"/>
          <w:sz w:val="28"/>
          <w:szCs w:val="28"/>
        </w:rPr>
        <w:t xml:space="preserve"> view of </w:t>
      </w:r>
      <w:r>
        <w:rPr>
          <w:rFonts w:eastAsia="Times New Roman" w:cstheme="minorHAnsi"/>
          <w:sz w:val="28"/>
          <w:szCs w:val="28"/>
        </w:rPr>
        <w:t>the company</w:t>
      </w:r>
      <w:r w:rsidR="00626D78" w:rsidRPr="00626D78">
        <w:rPr>
          <w:rFonts w:eastAsia="Times New Roman" w:cstheme="minorHAnsi"/>
          <w:sz w:val="28"/>
          <w:szCs w:val="28"/>
        </w:rPr>
        <w:t>'s financial worth over</w:t>
      </w:r>
      <w:r>
        <w:rPr>
          <w:rFonts w:eastAsia="Times New Roman" w:cstheme="minorHAnsi"/>
          <w:sz w:val="28"/>
          <w:szCs w:val="28"/>
        </w:rPr>
        <w:t xml:space="preserve"> a specified period of</w:t>
      </w:r>
      <w:r w:rsidR="00626D78" w:rsidRPr="00626D78">
        <w:rPr>
          <w:rFonts w:eastAsia="Times New Roman" w:cstheme="minorHAnsi"/>
          <w:sz w:val="28"/>
          <w:szCs w:val="28"/>
        </w:rPr>
        <w:t xml:space="preserve"> time </w:t>
      </w:r>
      <w:r>
        <w:rPr>
          <w:rFonts w:eastAsia="Times New Roman" w:cstheme="minorHAnsi"/>
          <w:sz w:val="28"/>
          <w:szCs w:val="28"/>
        </w:rPr>
        <w:t xml:space="preserve">because such </w:t>
      </w:r>
      <w:r w:rsidRPr="00626D78">
        <w:rPr>
          <w:rFonts w:eastAsia="Times New Roman" w:cstheme="minorHAnsi"/>
          <w:sz w:val="28"/>
          <w:szCs w:val="28"/>
        </w:rPr>
        <w:t>information</w:t>
      </w:r>
      <w:r w:rsidR="00626D78" w:rsidRPr="00626D78">
        <w:rPr>
          <w:rFonts w:eastAsia="Times New Roman" w:cstheme="minorHAnsi"/>
          <w:sz w:val="28"/>
          <w:szCs w:val="28"/>
        </w:rPr>
        <w:t xml:space="preserve"> </w:t>
      </w:r>
      <w:r>
        <w:rPr>
          <w:rFonts w:eastAsia="Times New Roman" w:cstheme="minorHAnsi"/>
          <w:sz w:val="28"/>
          <w:szCs w:val="28"/>
        </w:rPr>
        <w:t>allows</w:t>
      </w:r>
      <w:r w:rsidRPr="00EC411F">
        <w:t xml:space="preserve"> </w:t>
      </w:r>
      <w:r w:rsidRPr="00EC411F">
        <w:rPr>
          <w:rFonts w:eastAsia="Times New Roman" w:cstheme="minorHAnsi"/>
          <w:sz w:val="28"/>
          <w:szCs w:val="28"/>
        </w:rPr>
        <w:t>analysts</w:t>
      </w:r>
      <w:r>
        <w:rPr>
          <w:rFonts w:eastAsia="Times New Roman" w:cstheme="minorHAnsi"/>
          <w:sz w:val="28"/>
          <w:szCs w:val="28"/>
        </w:rPr>
        <w:t xml:space="preserve"> and</w:t>
      </w:r>
      <w:r w:rsidR="00626D78" w:rsidRPr="00626D78">
        <w:rPr>
          <w:rFonts w:eastAsia="Times New Roman" w:cstheme="minorHAnsi"/>
          <w:sz w:val="28"/>
          <w:szCs w:val="28"/>
        </w:rPr>
        <w:t xml:space="preserve"> investors to forecast earnings more </w:t>
      </w:r>
      <w:r>
        <w:rPr>
          <w:rFonts w:eastAsia="Times New Roman" w:cstheme="minorHAnsi"/>
          <w:sz w:val="28"/>
          <w:szCs w:val="28"/>
        </w:rPr>
        <w:t xml:space="preserve">effectively and </w:t>
      </w:r>
      <w:r w:rsidR="00626D78" w:rsidRPr="00626D78">
        <w:rPr>
          <w:rFonts w:eastAsia="Times New Roman" w:cstheme="minorHAnsi"/>
          <w:sz w:val="28"/>
          <w:szCs w:val="28"/>
        </w:rPr>
        <w:t xml:space="preserve">efficiently. </w:t>
      </w:r>
      <w:r>
        <w:rPr>
          <w:rFonts w:eastAsia="Times New Roman" w:cstheme="minorHAnsi"/>
          <w:sz w:val="28"/>
          <w:szCs w:val="28"/>
        </w:rPr>
        <w:t xml:space="preserve">The use of </w:t>
      </w:r>
      <w:r w:rsidRPr="00EC411F">
        <w:rPr>
          <w:rFonts w:eastAsia="Times New Roman" w:cstheme="minorHAnsi"/>
          <w:sz w:val="28"/>
          <w:szCs w:val="28"/>
        </w:rPr>
        <w:t>market capitalization</w:t>
      </w:r>
      <w:r>
        <w:rPr>
          <w:rFonts w:eastAsia="Times New Roman" w:cstheme="minorHAnsi"/>
          <w:sz w:val="28"/>
          <w:szCs w:val="28"/>
        </w:rPr>
        <w:t xml:space="preserve"> and </w:t>
      </w:r>
      <w:r w:rsidR="00626D78" w:rsidRPr="00626D78">
        <w:rPr>
          <w:rFonts w:eastAsia="Times New Roman" w:cstheme="minorHAnsi"/>
          <w:sz w:val="28"/>
          <w:szCs w:val="28"/>
        </w:rPr>
        <w:t xml:space="preserve">enterprise value </w:t>
      </w:r>
      <w:r w:rsidR="00095B81">
        <w:rPr>
          <w:rFonts w:eastAsia="Times New Roman" w:cstheme="minorHAnsi"/>
          <w:sz w:val="28"/>
          <w:szCs w:val="28"/>
        </w:rPr>
        <w:t xml:space="preserve">provide a good </w:t>
      </w:r>
      <w:r w:rsidR="00626D78" w:rsidRPr="00626D78">
        <w:rPr>
          <w:rFonts w:eastAsia="Times New Roman" w:cstheme="minorHAnsi"/>
          <w:sz w:val="28"/>
          <w:szCs w:val="28"/>
        </w:rPr>
        <w:t>way to gaug</w:t>
      </w:r>
      <w:r w:rsidR="00095B81">
        <w:rPr>
          <w:rFonts w:eastAsia="Times New Roman" w:cstheme="minorHAnsi"/>
          <w:sz w:val="28"/>
          <w:szCs w:val="28"/>
        </w:rPr>
        <w:t xml:space="preserve">e </w:t>
      </w:r>
      <w:r w:rsidR="00626D78" w:rsidRPr="00626D78">
        <w:rPr>
          <w:rFonts w:eastAsia="Times New Roman" w:cstheme="minorHAnsi"/>
          <w:sz w:val="28"/>
          <w:szCs w:val="28"/>
        </w:rPr>
        <w:t xml:space="preserve">the </w:t>
      </w:r>
      <w:r w:rsidR="00095B81">
        <w:rPr>
          <w:rFonts w:eastAsia="Times New Roman" w:cstheme="minorHAnsi"/>
          <w:sz w:val="28"/>
          <w:szCs w:val="28"/>
        </w:rPr>
        <w:t xml:space="preserve">company’s </w:t>
      </w:r>
      <w:r w:rsidR="00626D78" w:rsidRPr="00626D78">
        <w:rPr>
          <w:rFonts w:eastAsia="Times New Roman" w:cstheme="minorHAnsi"/>
          <w:sz w:val="28"/>
          <w:szCs w:val="28"/>
        </w:rPr>
        <w:t xml:space="preserve">value </w:t>
      </w:r>
      <w:r w:rsidR="00095B81">
        <w:rPr>
          <w:rFonts w:eastAsia="Times New Roman" w:cstheme="minorHAnsi"/>
          <w:sz w:val="28"/>
          <w:szCs w:val="28"/>
        </w:rPr>
        <w:t xml:space="preserve">and for </w:t>
      </w:r>
      <w:r w:rsidR="00626D78" w:rsidRPr="00626D78">
        <w:rPr>
          <w:rFonts w:eastAsia="Times New Roman" w:cstheme="minorHAnsi"/>
          <w:sz w:val="28"/>
          <w:szCs w:val="28"/>
        </w:rPr>
        <w:t>investors to</w:t>
      </w:r>
      <w:r w:rsidR="00095B81">
        <w:rPr>
          <w:rFonts w:eastAsia="Times New Roman" w:cstheme="minorHAnsi"/>
          <w:sz w:val="28"/>
          <w:szCs w:val="28"/>
        </w:rPr>
        <w:t xml:space="preserve"> use it to</w:t>
      </w:r>
      <w:r w:rsidR="00626D78" w:rsidRPr="00626D78">
        <w:rPr>
          <w:rFonts w:eastAsia="Times New Roman" w:cstheme="minorHAnsi"/>
          <w:sz w:val="28"/>
          <w:szCs w:val="28"/>
        </w:rPr>
        <w:t xml:space="preserve"> make </w:t>
      </w:r>
      <w:r w:rsidR="00095B81" w:rsidRPr="00626D78">
        <w:rPr>
          <w:rFonts w:eastAsia="Times New Roman" w:cstheme="minorHAnsi"/>
          <w:sz w:val="28"/>
          <w:szCs w:val="28"/>
        </w:rPr>
        <w:t>decisions</w:t>
      </w:r>
      <w:r w:rsidR="00626D78" w:rsidRPr="00626D78">
        <w:rPr>
          <w:rFonts w:eastAsia="Times New Roman" w:cstheme="minorHAnsi"/>
          <w:sz w:val="28"/>
          <w:szCs w:val="28"/>
        </w:rPr>
        <w:t>.</w:t>
      </w:r>
      <w:r w:rsidR="00095B81">
        <w:rPr>
          <w:rFonts w:eastAsia="Times New Roman" w:cstheme="minorHAnsi"/>
          <w:sz w:val="28"/>
          <w:szCs w:val="28"/>
        </w:rPr>
        <w:t xml:space="preserve"> Graph 2 below shows </w:t>
      </w:r>
      <w:r w:rsidR="00095B81" w:rsidRPr="00095B81">
        <w:rPr>
          <w:rFonts w:eastAsia="Times New Roman" w:cstheme="minorHAnsi"/>
          <w:sz w:val="28"/>
          <w:szCs w:val="28"/>
        </w:rPr>
        <w:t>Marathon Oil's actual value</w:t>
      </w:r>
      <w:r w:rsidR="00095B81">
        <w:rPr>
          <w:rFonts w:eastAsia="Times New Roman" w:cstheme="minorHAnsi"/>
          <w:sz w:val="28"/>
          <w:szCs w:val="28"/>
        </w:rPr>
        <w:t xml:space="preserve"> over a period from 2012 to 2021.</w:t>
      </w:r>
      <w:r w:rsidR="00944DDF">
        <w:rPr>
          <w:rFonts w:eastAsia="Times New Roman" w:cstheme="minorHAnsi"/>
          <w:sz w:val="28"/>
          <w:szCs w:val="28"/>
        </w:rPr>
        <w:t xml:space="preserve"> The valuation has been on a down trend but with some improvements in 2020. </w:t>
      </w:r>
    </w:p>
    <w:p w:rsidR="00AC6B39" w:rsidRPr="00626D78" w:rsidRDefault="00AC6B39" w:rsidP="00626D78">
      <w:pPr>
        <w:rPr>
          <w:rFonts w:eastAsia="Times New Roman" w:cstheme="minorHAnsi"/>
          <w:sz w:val="28"/>
          <w:szCs w:val="28"/>
        </w:rPr>
      </w:pPr>
    </w:p>
    <w:p w:rsidR="00AC6B39" w:rsidRDefault="00626D78" w:rsidP="0078755A">
      <w:pPr>
        <w:rPr>
          <w:rFonts w:eastAsia="Times New Roman" w:cstheme="minorHAnsi"/>
          <w:sz w:val="28"/>
          <w:szCs w:val="28"/>
        </w:rPr>
      </w:pPr>
      <w:r w:rsidRPr="00626D78">
        <w:rPr>
          <w:rFonts w:eastAsia="Times New Roman" w:cstheme="minorHAnsi"/>
          <w:noProof/>
          <w:sz w:val="28"/>
          <w:szCs w:val="28"/>
        </w:rPr>
        <w:lastRenderedPageBreak/>
        <w:drawing>
          <wp:inline distT="0" distB="0" distL="0" distR="0" wp14:anchorId="575D4D3A" wp14:editId="70BC6E33">
            <wp:extent cx="5939397" cy="4191000"/>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3600" cy="4193966"/>
                    </a:xfrm>
                    <a:prstGeom prst="rect">
                      <a:avLst/>
                    </a:prstGeom>
                  </pic:spPr>
                </pic:pic>
              </a:graphicData>
            </a:graphic>
          </wp:inline>
        </w:drawing>
      </w:r>
    </w:p>
    <w:p w:rsidR="00626D78" w:rsidRPr="00095B81" w:rsidRDefault="00FC687C" w:rsidP="0078755A">
      <w:pPr>
        <w:rPr>
          <w:rFonts w:eastAsia="Times New Roman" w:cstheme="minorHAnsi"/>
          <w:b/>
          <w:sz w:val="28"/>
          <w:szCs w:val="28"/>
        </w:rPr>
      </w:pPr>
      <w:r w:rsidRPr="00FC687C">
        <w:rPr>
          <w:rFonts w:eastAsia="Times New Roman" w:cstheme="minorHAnsi"/>
          <w:b/>
          <w:sz w:val="28"/>
          <w:szCs w:val="28"/>
        </w:rPr>
        <w:t>Recommend</w:t>
      </w:r>
      <w:r>
        <w:rPr>
          <w:rFonts w:eastAsia="Times New Roman" w:cstheme="minorHAnsi"/>
          <w:b/>
          <w:sz w:val="28"/>
          <w:szCs w:val="28"/>
        </w:rPr>
        <w:t xml:space="preserve">ing </w:t>
      </w:r>
      <w:r w:rsidRPr="00FC687C">
        <w:rPr>
          <w:rFonts w:eastAsia="Times New Roman" w:cstheme="minorHAnsi"/>
          <w:b/>
          <w:sz w:val="28"/>
          <w:szCs w:val="28"/>
        </w:rPr>
        <w:t xml:space="preserve">the corporation finance </w:t>
      </w:r>
      <w:r>
        <w:rPr>
          <w:rFonts w:eastAsia="Times New Roman" w:cstheme="minorHAnsi"/>
          <w:b/>
          <w:sz w:val="28"/>
          <w:szCs w:val="28"/>
        </w:rPr>
        <w:t xml:space="preserve">  </w:t>
      </w:r>
      <w:r w:rsidR="00095B81" w:rsidRPr="00095B81">
        <w:rPr>
          <w:rFonts w:eastAsia="Times New Roman" w:cstheme="minorHAnsi"/>
          <w:b/>
          <w:sz w:val="28"/>
          <w:szCs w:val="28"/>
        </w:rPr>
        <w:t xml:space="preserve"> </w:t>
      </w:r>
    </w:p>
    <w:p w:rsidR="00234430" w:rsidRDefault="00FC687C" w:rsidP="00C4244A">
      <w:pPr>
        <w:ind w:firstLine="720"/>
        <w:rPr>
          <w:rFonts w:eastAsia="Times New Roman" w:cstheme="minorHAnsi"/>
          <w:sz w:val="28"/>
          <w:szCs w:val="28"/>
        </w:rPr>
      </w:pPr>
      <w:r>
        <w:rPr>
          <w:rFonts w:eastAsia="Times New Roman" w:cstheme="minorHAnsi"/>
          <w:sz w:val="28"/>
          <w:szCs w:val="28"/>
        </w:rPr>
        <w:t xml:space="preserve">The above analysis has considered many aspects of historical performance and also forecast of valuation into the future. </w:t>
      </w:r>
      <w:proofErr w:type="gramStart"/>
      <w:r>
        <w:rPr>
          <w:rFonts w:eastAsia="Times New Roman" w:cstheme="minorHAnsi"/>
          <w:sz w:val="28"/>
          <w:szCs w:val="28"/>
        </w:rPr>
        <w:t>a</w:t>
      </w:r>
      <w:proofErr w:type="gramEnd"/>
      <w:r>
        <w:rPr>
          <w:rFonts w:eastAsia="Times New Roman" w:cstheme="minorHAnsi"/>
          <w:sz w:val="28"/>
          <w:szCs w:val="28"/>
        </w:rPr>
        <w:t xml:space="preserve"> comparison of the financial ratio with the industry averages (industry averages in appendix 1) shows  mixed performance but slightly skewed towards below industry performance.  </w:t>
      </w:r>
      <w:proofErr w:type="gramStart"/>
      <w:r>
        <w:rPr>
          <w:rFonts w:eastAsia="Times New Roman" w:cstheme="minorHAnsi"/>
          <w:sz w:val="28"/>
          <w:szCs w:val="28"/>
        </w:rPr>
        <w:t>for</w:t>
      </w:r>
      <w:proofErr w:type="gramEnd"/>
      <w:r>
        <w:rPr>
          <w:rFonts w:eastAsia="Times New Roman" w:cstheme="minorHAnsi"/>
          <w:sz w:val="28"/>
          <w:szCs w:val="28"/>
        </w:rPr>
        <w:t xml:space="preserve"> example, profitability ratios for the company on </w:t>
      </w:r>
      <w:r w:rsidRPr="00FC687C">
        <w:rPr>
          <w:rFonts w:eastAsia="Times New Roman" w:cstheme="minorHAnsi"/>
          <w:sz w:val="28"/>
          <w:szCs w:val="28"/>
        </w:rPr>
        <w:t>Return on Equity 5YA</w:t>
      </w:r>
      <w:r>
        <w:rPr>
          <w:rFonts w:eastAsia="Times New Roman" w:cstheme="minorHAnsi"/>
          <w:sz w:val="28"/>
          <w:szCs w:val="28"/>
        </w:rPr>
        <w:t xml:space="preserve">  @ </w:t>
      </w:r>
      <w:r w:rsidRPr="00FC687C">
        <w:rPr>
          <w:rFonts w:eastAsia="Times New Roman" w:cstheme="minorHAnsi"/>
          <w:sz w:val="28"/>
          <w:szCs w:val="28"/>
        </w:rPr>
        <w:t>4.18</w:t>
      </w:r>
      <w:r>
        <w:rPr>
          <w:rFonts w:eastAsia="Times New Roman" w:cstheme="minorHAnsi"/>
          <w:sz w:val="28"/>
          <w:szCs w:val="28"/>
        </w:rPr>
        <w:t xml:space="preserve">, </w:t>
      </w:r>
      <w:r w:rsidRPr="00FC687C">
        <w:rPr>
          <w:rFonts w:eastAsia="Times New Roman" w:cstheme="minorHAnsi"/>
          <w:sz w:val="28"/>
          <w:szCs w:val="28"/>
        </w:rPr>
        <w:t xml:space="preserve">Return on Assets 5YA @ -11.7, Pretax margin 5YA @-26.85, Operating margin 5YA@-26.44, </w:t>
      </w:r>
      <w:r>
        <w:rPr>
          <w:rFonts w:eastAsia="Times New Roman" w:cstheme="minorHAnsi"/>
          <w:sz w:val="28"/>
          <w:szCs w:val="28"/>
        </w:rPr>
        <w:t xml:space="preserve">   and Gross Margin 5YA @ </w:t>
      </w:r>
      <w:r w:rsidRPr="00FC687C">
        <w:rPr>
          <w:rFonts w:eastAsia="Times New Roman" w:cstheme="minorHAnsi"/>
          <w:sz w:val="28"/>
          <w:szCs w:val="28"/>
        </w:rPr>
        <w:t>46.77</w:t>
      </w:r>
      <w:r>
        <w:rPr>
          <w:rFonts w:eastAsia="Times New Roman" w:cstheme="minorHAnsi"/>
          <w:sz w:val="28"/>
          <w:szCs w:val="28"/>
        </w:rPr>
        <w:t xml:space="preserve"> are relatively better than the industry averages. </w:t>
      </w:r>
      <w:r w:rsidR="00C12A5E" w:rsidRPr="00C12A5E">
        <w:rPr>
          <w:rFonts w:eastAsia="Times New Roman" w:cstheme="minorHAnsi"/>
          <w:sz w:val="28"/>
          <w:szCs w:val="28"/>
        </w:rPr>
        <w:t>Liquidity Ratios</w:t>
      </w:r>
      <w:r w:rsidR="00C12A5E">
        <w:rPr>
          <w:rFonts w:eastAsia="Times New Roman" w:cstheme="minorHAnsi"/>
          <w:sz w:val="28"/>
          <w:szCs w:val="28"/>
        </w:rPr>
        <w:t xml:space="preserve"> are also healthy despite being slightly below industry averages. The debt to equity for the company, about half of the company finances are through debt which is healthy.  In terms of asset leverage, </w:t>
      </w:r>
      <w:r w:rsidR="00234430">
        <w:rPr>
          <w:rFonts w:eastAsia="Times New Roman" w:cstheme="minorHAnsi"/>
          <w:sz w:val="28"/>
          <w:szCs w:val="28"/>
        </w:rPr>
        <w:t xml:space="preserve">the ratio of 1.7 shows that more </w:t>
      </w:r>
      <w:r w:rsidR="00234430" w:rsidRPr="00234430">
        <w:rPr>
          <w:rFonts w:eastAsia="Times New Roman" w:cstheme="minorHAnsi"/>
          <w:sz w:val="28"/>
          <w:szCs w:val="28"/>
        </w:rPr>
        <w:t xml:space="preserve">assets </w:t>
      </w:r>
      <w:r w:rsidR="00234430">
        <w:rPr>
          <w:rFonts w:eastAsia="Times New Roman" w:cstheme="minorHAnsi"/>
          <w:sz w:val="28"/>
          <w:szCs w:val="28"/>
        </w:rPr>
        <w:t xml:space="preserve">are financed using debt or loan and that the </w:t>
      </w:r>
      <w:r w:rsidR="00234430" w:rsidRPr="00234430">
        <w:rPr>
          <w:rFonts w:eastAsia="Times New Roman" w:cstheme="minorHAnsi"/>
          <w:sz w:val="28"/>
          <w:szCs w:val="28"/>
        </w:rPr>
        <w:t xml:space="preserve">equity holders have </w:t>
      </w:r>
      <w:r w:rsidR="00234430">
        <w:rPr>
          <w:rFonts w:eastAsia="Times New Roman" w:cstheme="minorHAnsi"/>
          <w:sz w:val="28"/>
          <w:szCs w:val="28"/>
        </w:rPr>
        <w:t xml:space="preserve">less </w:t>
      </w:r>
      <w:r w:rsidR="00234430" w:rsidRPr="00234430">
        <w:rPr>
          <w:rFonts w:eastAsia="Times New Roman" w:cstheme="minorHAnsi"/>
          <w:sz w:val="28"/>
          <w:szCs w:val="28"/>
        </w:rPr>
        <w:t>claim</w:t>
      </w:r>
      <w:r w:rsidR="00234430">
        <w:rPr>
          <w:rFonts w:eastAsia="Times New Roman" w:cstheme="minorHAnsi"/>
          <w:sz w:val="28"/>
          <w:szCs w:val="28"/>
        </w:rPr>
        <w:t xml:space="preserve"> on such assets</w:t>
      </w:r>
      <w:r w:rsidR="00234430" w:rsidRPr="00234430">
        <w:rPr>
          <w:rFonts w:eastAsia="Times New Roman" w:cstheme="minorHAnsi"/>
          <w:sz w:val="28"/>
          <w:szCs w:val="28"/>
        </w:rPr>
        <w:t>.</w:t>
      </w:r>
      <w:r w:rsidR="00234430">
        <w:rPr>
          <w:rFonts w:eastAsia="Times New Roman" w:cstheme="minorHAnsi"/>
          <w:sz w:val="28"/>
          <w:szCs w:val="28"/>
        </w:rPr>
        <w:t xml:space="preserve"> A ra</w:t>
      </w:r>
      <w:r w:rsidR="00234430" w:rsidRPr="00234430">
        <w:rPr>
          <w:rFonts w:eastAsia="Times New Roman" w:cstheme="minorHAnsi"/>
          <w:sz w:val="28"/>
          <w:szCs w:val="28"/>
        </w:rPr>
        <w:t xml:space="preserve">tio </w:t>
      </w:r>
      <w:r w:rsidR="00234430">
        <w:rPr>
          <w:rFonts w:eastAsia="Times New Roman" w:cstheme="minorHAnsi"/>
          <w:sz w:val="28"/>
          <w:szCs w:val="28"/>
        </w:rPr>
        <w:t xml:space="preserve">of 1.7 is still not considered risky and therefore it is healthy in terms of financing more assets by a balanced issuance of </w:t>
      </w:r>
      <w:r w:rsidR="00234430" w:rsidRPr="00234430">
        <w:rPr>
          <w:rFonts w:eastAsia="Times New Roman" w:cstheme="minorHAnsi"/>
          <w:sz w:val="28"/>
          <w:szCs w:val="28"/>
        </w:rPr>
        <w:t xml:space="preserve">debt </w:t>
      </w:r>
      <w:r w:rsidR="00234430">
        <w:rPr>
          <w:rFonts w:eastAsia="Times New Roman" w:cstheme="minorHAnsi"/>
          <w:sz w:val="28"/>
          <w:szCs w:val="28"/>
        </w:rPr>
        <w:t>and</w:t>
      </w:r>
      <w:r w:rsidR="00234430" w:rsidRPr="00234430">
        <w:rPr>
          <w:rFonts w:eastAsia="Times New Roman" w:cstheme="minorHAnsi"/>
          <w:sz w:val="28"/>
          <w:szCs w:val="28"/>
        </w:rPr>
        <w:t xml:space="preserve"> equity</w:t>
      </w:r>
      <w:r w:rsidR="00234430">
        <w:rPr>
          <w:rFonts w:eastAsia="Times New Roman" w:cstheme="minorHAnsi"/>
          <w:sz w:val="28"/>
          <w:szCs w:val="28"/>
        </w:rPr>
        <w:t xml:space="preserve">. </w:t>
      </w:r>
    </w:p>
    <w:p w:rsidR="00C4244A" w:rsidRDefault="00234430" w:rsidP="00C4244A">
      <w:pPr>
        <w:ind w:firstLine="720"/>
        <w:rPr>
          <w:rFonts w:eastAsia="Times New Roman" w:cstheme="minorHAnsi"/>
          <w:sz w:val="28"/>
          <w:szCs w:val="28"/>
        </w:rPr>
      </w:pPr>
      <w:r>
        <w:rPr>
          <w:rFonts w:eastAsia="Times New Roman" w:cstheme="minorHAnsi"/>
          <w:sz w:val="28"/>
          <w:szCs w:val="28"/>
        </w:rPr>
        <w:lastRenderedPageBreak/>
        <w:t xml:space="preserve">Based on the above, </w:t>
      </w:r>
      <w:r w:rsidRPr="00234430">
        <w:rPr>
          <w:rFonts w:eastAsia="Times New Roman" w:cstheme="minorHAnsi"/>
          <w:sz w:val="28"/>
          <w:szCs w:val="28"/>
        </w:rPr>
        <w:t>Marathon Oil Corporation</w:t>
      </w:r>
      <w:r>
        <w:rPr>
          <w:rFonts w:eastAsia="Times New Roman" w:cstheme="minorHAnsi"/>
          <w:sz w:val="28"/>
          <w:szCs w:val="28"/>
        </w:rPr>
        <w:t xml:space="preserve"> is can manage to use more debt funds to finance its capital expenditure which is pegged at $ $1,795,600.</w:t>
      </w:r>
      <w:r w:rsidR="004C32E6">
        <w:rPr>
          <w:rFonts w:eastAsia="Times New Roman" w:cstheme="minorHAnsi"/>
          <w:sz w:val="28"/>
          <w:szCs w:val="28"/>
        </w:rPr>
        <w:t xml:space="preserve"> The analysis above (valuation, financial ratios, and financial performance trends) shows that </w:t>
      </w:r>
      <w:r w:rsidR="004C32E6" w:rsidRPr="004C32E6">
        <w:rPr>
          <w:rFonts w:eastAsia="Times New Roman" w:cstheme="minorHAnsi"/>
          <w:sz w:val="28"/>
          <w:szCs w:val="28"/>
        </w:rPr>
        <w:t>Marathon Oil Corporation</w:t>
      </w:r>
      <w:r w:rsidR="004C32E6">
        <w:rPr>
          <w:rFonts w:eastAsia="Times New Roman" w:cstheme="minorHAnsi"/>
          <w:sz w:val="28"/>
          <w:szCs w:val="28"/>
        </w:rPr>
        <w:t xml:space="preserve"> is a relatively stable, liquid, solvent, and profitable company. The oil industry is peaking as the global economy rebound from a poor global economic performance due to the pandemic. Basically, the global economy and environment is looking upwards and this is a favorable environment for the company.  Based on these factors, </w:t>
      </w:r>
      <w:r w:rsidR="004C32E6" w:rsidRPr="004C32E6">
        <w:rPr>
          <w:rFonts w:eastAsia="Times New Roman" w:cstheme="minorHAnsi"/>
          <w:sz w:val="28"/>
          <w:szCs w:val="28"/>
        </w:rPr>
        <w:t>Marathon Oil Corporation</w:t>
      </w:r>
      <w:r w:rsidR="004C32E6">
        <w:rPr>
          <w:rFonts w:eastAsia="Times New Roman" w:cstheme="minorHAnsi"/>
          <w:sz w:val="28"/>
          <w:szCs w:val="28"/>
        </w:rPr>
        <w:t xml:space="preserve"> can be able to achieve a performance that will enable payment of interests and because the assets are not highly committed into past loans, fresh loan for the </w:t>
      </w:r>
      <w:r w:rsidR="004C32E6" w:rsidRPr="004C32E6">
        <w:rPr>
          <w:rFonts w:eastAsia="Times New Roman" w:cstheme="minorHAnsi"/>
          <w:sz w:val="28"/>
          <w:szCs w:val="28"/>
        </w:rPr>
        <w:t>capital expenditure</w:t>
      </w:r>
      <w:r w:rsidR="004C32E6">
        <w:rPr>
          <w:rFonts w:eastAsia="Times New Roman" w:cstheme="minorHAnsi"/>
          <w:sz w:val="28"/>
          <w:szCs w:val="28"/>
        </w:rPr>
        <w:t xml:space="preserve"> would be appropriate. Other advantages of the debt financing method include: the owners retain </w:t>
      </w:r>
      <w:r w:rsidR="004C32E6" w:rsidRPr="004C32E6">
        <w:rPr>
          <w:rFonts w:eastAsia="Times New Roman" w:cstheme="minorHAnsi"/>
          <w:sz w:val="28"/>
          <w:szCs w:val="28"/>
        </w:rPr>
        <w:t>business owne</w:t>
      </w:r>
      <w:r w:rsidR="004C32E6">
        <w:rPr>
          <w:rFonts w:eastAsia="Times New Roman" w:cstheme="minorHAnsi"/>
          <w:sz w:val="28"/>
          <w:szCs w:val="28"/>
        </w:rPr>
        <w:t xml:space="preserve">rship, it allows </w:t>
      </w:r>
      <w:r w:rsidR="004C32E6" w:rsidRPr="004C32E6">
        <w:rPr>
          <w:rFonts w:eastAsia="Times New Roman" w:cstheme="minorHAnsi"/>
          <w:sz w:val="28"/>
          <w:szCs w:val="28"/>
        </w:rPr>
        <w:t>tax deductions</w:t>
      </w:r>
      <w:r w:rsidR="00661DC3">
        <w:rPr>
          <w:rFonts w:eastAsia="Times New Roman" w:cstheme="minorHAnsi"/>
          <w:sz w:val="28"/>
          <w:szCs w:val="28"/>
        </w:rPr>
        <w:t>, debt</w:t>
      </w:r>
      <w:r w:rsidR="004C32E6" w:rsidRPr="004C32E6">
        <w:rPr>
          <w:rFonts w:eastAsia="Times New Roman" w:cstheme="minorHAnsi"/>
          <w:sz w:val="28"/>
          <w:szCs w:val="28"/>
        </w:rPr>
        <w:t xml:space="preserve"> can fuel growth</w:t>
      </w:r>
      <w:r w:rsidR="004C32E6">
        <w:rPr>
          <w:rFonts w:eastAsia="Times New Roman" w:cstheme="minorHAnsi"/>
          <w:sz w:val="28"/>
          <w:szCs w:val="28"/>
        </w:rPr>
        <w:t>,</w:t>
      </w:r>
      <w:r w:rsidR="00661DC3">
        <w:rPr>
          <w:rFonts w:eastAsia="Times New Roman" w:cstheme="minorHAnsi"/>
          <w:sz w:val="28"/>
          <w:szCs w:val="28"/>
        </w:rPr>
        <w:t xml:space="preserve"> use of l</w:t>
      </w:r>
      <w:r w:rsidR="00661DC3" w:rsidRPr="00661DC3">
        <w:rPr>
          <w:rFonts w:eastAsia="Times New Roman" w:cstheme="minorHAnsi"/>
          <w:sz w:val="28"/>
          <w:szCs w:val="28"/>
        </w:rPr>
        <w:t xml:space="preserve">ong-term debt can </w:t>
      </w:r>
      <w:r w:rsidR="00661DC3">
        <w:rPr>
          <w:rFonts w:eastAsia="Times New Roman" w:cstheme="minorHAnsi"/>
          <w:sz w:val="28"/>
          <w:szCs w:val="28"/>
        </w:rPr>
        <w:t xml:space="preserve">eradicate the company’s </w:t>
      </w:r>
      <w:r w:rsidR="00661DC3" w:rsidRPr="00661DC3">
        <w:rPr>
          <w:rFonts w:eastAsia="Times New Roman" w:cstheme="minorHAnsi"/>
          <w:sz w:val="28"/>
          <w:szCs w:val="28"/>
        </w:rPr>
        <w:t>reliance on expensive debt</w:t>
      </w:r>
      <w:r w:rsidR="00661DC3">
        <w:rPr>
          <w:rFonts w:eastAsia="Times New Roman" w:cstheme="minorHAnsi"/>
          <w:sz w:val="28"/>
          <w:szCs w:val="28"/>
        </w:rPr>
        <w:t>,</w:t>
      </w:r>
      <w:r w:rsidR="0093223D">
        <w:rPr>
          <w:rFonts w:eastAsia="Times New Roman" w:cstheme="minorHAnsi"/>
          <w:sz w:val="28"/>
          <w:szCs w:val="28"/>
        </w:rPr>
        <w:t xml:space="preserve"> it</w:t>
      </w:r>
      <w:r w:rsidR="00661DC3">
        <w:rPr>
          <w:rFonts w:eastAsia="Times New Roman" w:cstheme="minorHAnsi"/>
          <w:sz w:val="28"/>
          <w:szCs w:val="28"/>
        </w:rPr>
        <w:t xml:space="preserve"> </w:t>
      </w:r>
      <w:r w:rsidR="0093223D" w:rsidRPr="0093223D">
        <w:rPr>
          <w:rFonts w:eastAsia="Times New Roman" w:cstheme="minorHAnsi"/>
          <w:sz w:val="28"/>
          <w:szCs w:val="28"/>
        </w:rPr>
        <w:t xml:space="preserve">is easier to plan </w:t>
      </w:r>
      <w:r w:rsidR="0093223D">
        <w:rPr>
          <w:rFonts w:eastAsia="Times New Roman" w:cstheme="minorHAnsi"/>
          <w:sz w:val="28"/>
          <w:szCs w:val="28"/>
        </w:rPr>
        <w:t>payment, loans come in different forms and offer flexibility (many options), provide opportunity for</w:t>
      </w:r>
      <w:r w:rsidR="003975F1">
        <w:rPr>
          <w:rFonts w:eastAsia="Times New Roman" w:cstheme="minorHAnsi"/>
          <w:sz w:val="28"/>
          <w:szCs w:val="28"/>
        </w:rPr>
        <w:t xml:space="preserve"> access to customized terms to suit specific needs and situations</w:t>
      </w:r>
      <w:r w:rsidR="00D63DE6" w:rsidRPr="00D63DE6">
        <w:t xml:space="preserve"> </w:t>
      </w:r>
      <w:r w:rsidR="00D63DE6">
        <w:t>(</w:t>
      </w:r>
      <w:r w:rsidR="00D63DE6" w:rsidRPr="00D63DE6">
        <w:rPr>
          <w:rFonts w:eastAsia="Times New Roman" w:cstheme="minorHAnsi"/>
          <w:sz w:val="28"/>
          <w:szCs w:val="28"/>
        </w:rPr>
        <w:t>Ling, 2020</w:t>
      </w:r>
      <w:r w:rsidR="00D63DE6">
        <w:rPr>
          <w:rFonts w:eastAsia="Times New Roman" w:cstheme="minorHAnsi"/>
          <w:sz w:val="28"/>
          <w:szCs w:val="28"/>
        </w:rPr>
        <w:t>)</w:t>
      </w:r>
      <w:r w:rsidR="003975F1">
        <w:rPr>
          <w:rFonts w:eastAsia="Times New Roman" w:cstheme="minorHAnsi"/>
          <w:sz w:val="28"/>
          <w:szCs w:val="28"/>
        </w:rPr>
        <w:t xml:space="preserve">. </w:t>
      </w:r>
      <w:r w:rsidR="00661DC3">
        <w:rPr>
          <w:rFonts w:eastAsia="Times New Roman" w:cstheme="minorHAnsi"/>
          <w:sz w:val="28"/>
          <w:szCs w:val="28"/>
        </w:rPr>
        <w:t xml:space="preserve">The </w:t>
      </w:r>
      <w:r w:rsidR="004C32E6">
        <w:rPr>
          <w:rFonts w:eastAsia="Times New Roman" w:cstheme="minorHAnsi"/>
          <w:sz w:val="28"/>
          <w:szCs w:val="28"/>
        </w:rPr>
        <w:t>disad</w:t>
      </w:r>
      <w:r w:rsidR="004C32E6" w:rsidRPr="004C32E6">
        <w:rPr>
          <w:rFonts w:eastAsia="Times New Roman" w:cstheme="minorHAnsi"/>
          <w:sz w:val="28"/>
          <w:szCs w:val="28"/>
        </w:rPr>
        <w:t>vantages of the debt financing</w:t>
      </w:r>
      <w:r w:rsidR="004C32E6">
        <w:rPr>
          <w:rFonts w:eastAsia="Times New Roman" w:cstheme="minorHAnsi"/>
          <w:sz w:val="28"/>
          <w:szCs w:val="28"/>
        </w:rPr>
        <w:t xml:space="preserve"> method include </w:t>
      </w:r>
      <w:r w:rsidR="00661DC3">
        <w:rPr>
          <w:rFonts w:eastAsia="Times New Roman" w:cstheme="minorHAnsi"/>
          <w:sz w:val="28"/>
          <w:szCs w:val="28"/>
        </w:rPr>
        <w:t>the amount</w:t>
      </w:r>
      <w:r w:rsidR="00661DC3" w:rsidRPr="00661DC3">
        <w:rPr>
          <w:rFonts w:eastAsia="Times New Roman" w:cstheme="minorHAnsi"/>
          <w:sz w:val="28"/>
          <w:szCs w:val="28"/>
        </w:rPr>
        <w:t xml:space="preserve"> must </w:t>
      </w:r>
      <w:r w:rsidR="00661DC3">
        <w:rPr>
          <w:rFonts w:eastAsia="Times New Roman" w:cstheme="minorHAnsi"/>
          <w:sz w:val="28"/>
          <w:szCs w:val="28"/>
        </w:rPr>
        <w:t>be repaid to</w:t>
      </w:r>
      <w:r w:rsidR="00661DC3" w:rsidRPr="00661DC3">
        <w:rPr>
          <w:rFonts w:eastAsia="Times New Roman" w:cstheme="minorHAnsi"/>
          <w:sz w:val="28"/>
          <w:szCs w:val="28"/>
        </w:rPr>
        <w:t xml:space="preserve"> the lender</w:t>
      </w:r>
      <w:r w:rsidR="00661DC3">
        <w:rPr>
          <w:rFonts w:eastAsia="Times New Roman" w:cstheme="minorHAnsi"/>
          <w:sz w:val="28"/>
          <w:szCs w:val="28"/>
        </w:rPr>
        <w:t xml:space="preserve"> even when the business is performing poorly, High rates of interests,</w:t>
      </w:r>
      <w:r w:rsidR="00025388">
        <w:rPr>
          <w:rFonts w:eastAsia="Times New Roman" w:cstheme="minorHAnsi"/>
          <w:sz w:val="28"/>
          <w:szCs w:val="28"/>
        </w:rPr>
        <w:t xml:space="preserve"> and</w:t>
      </w:r>
      <w:r w:rsidR="00661DC3">
        <w:rPr>
          <w:rFonts w:eastAsia="Times New Roman" w:cstheme="minorHAnsi"/>
          <w:sz w:val="28"/>
          <w:szCs w:val="28"/>
        </w:rPr>
        <w:t xml:space="preserve"> i</w:t>
      </w:r>
      <w:r w:rsidR="00661DC3" w:rsidRPr="00661DC3">
        <w:rPr>
          <w:rFonts w:eastAsia="Times New Roman" w:cstheme="minorHAnsi"/>
          <w:sz w:val="28"/>
          <w:szCs w:val="28"/>
        </w:rPr>
        <w:t>t</w:t>
      </w:r>
      <w:r w:rsidR="00025388">
        <w:rPr>
          <w:rFonts w:eastAsia="Times New Roman" w:cstheme="minorHAnsi"/>
          <w:sz w:val="28"/>
          <w:szCs w:val="28"/>
        </w:rPr>
        <w:t xml:space="preserve"> can</w:t>
      </w:r>
      <w:r w:rsidR="00661DC3" w:rsidRPr="00661DC3">
        <w:rPr>
          <w:rFonts w:eastAsia="Times New Roman" w:cstheme="minorHAnsi"/>
          <w:sz w:val="28"/>
          <w:szCs w:val="28"/>
        </w:rPr>
        <w:t xml:space="preserve"> impacts </w:t>
      </w:r>
      <w:r w:rsidR="00661DC3">
        <w:rPr>
          <w:rFonts w:eastAsia="Times New Roman" w:cstheme="minorHAnsi"/>
          <w:sz w:val="28"/>
          <w:szCs w:val="28"/>
        </w:rPr>
        <w:t xml:space="preserve">company’s </w:t>
      </w:r>
      <w:r w:rsidR="00025388">
        <w:rPr>
          <w:rFonts w:eastAsia="Times New Roman" w:cstheme="minorHAnsi"/>
          <w:sz w:val="28"/>
          <w:szCs w:val="28"/>
        </w:rPr>
        <w:t>credit rating.</w:t>
      </w:r>
    </w:p>
    <w:p w:rsidR="004C32E6" w:rsidRDefault="00025388" w:rsidP="00C4244A">
      <w:pPr>
        <w:ind w:firstLine="720"/>
        <w:rPr>
          <w:rFonts w:eastAsia="Times New Roman" w:cstheme="minorHAnsi"/>
          <w:sz w:val="28"/>
          <w:szCs w:val="28"/>
        </w:rPr>
      </w:pPr>
      <w:r>
        <w:rPr>
          <w:rFonts w:eastAsia="Times New Roman" w:cstheme="minorHAnsi"/>
          <w:sz w:val="28"/>
          <w:szCs w:val="28"/>
        </w:rPr>
        <w:t xml:space="preserve">Overall, </w:t>
      </w:r>
      <w:r w:rsidR="00C4244A" w:rsidRPr="00C4244A">
        <w:rPr>
          <w:rFonts w:eastAsia="Times New Roman" w:cstheme="minorHAnsi"/>
          <w:sz w:val="28"/>
          <w:szCs w:val="28"/>
        </w:rPr>
        <w:t xml:space="preserve">Marathon Oil Corporation </w:t>
      </w:r>
      <w:r w:rsidR="00C4244A">
        <w:rPr>
          <w:rFonts w:eastAsia="Times New Roman" w:cstheme="minorHAnsi"/>
          <w:sz w:val="28"/>
          <w:szCs w:val="28"/>
        </w:rPr>
        <w:t xml:space="preserve"> </w:t>
      </w:r>
      <w:r w:rsidR="00C4244A" w:rsidRPr="00C4244A">
        <w:rPr>
          <w:rFonts w:eastAsia="Times New Roman" w:cstheme="minorHAnsi"/>
          <w:sz w:val="28"/>
          <w:szCs w:val="28"/>
        </w:rPr>
        <w:t xml:space="preserve">capital expenditure </w:t>
      </w:r>
      <w:r w:rsidR="00C4244A">
        <w:rPr>
          <w:rFonts w:eastAsia="Times New Roman" w:cstheme="minorHAnsi"/>
          <w:sz w:val="28"/>
          <w:szCs w:val="28"/>
        </w:rPr>
        <w:t xml:space="preserve">will be </w:t>
      </w:r>
      <w:r w:rsidR="00C4244A" w:rsidRPr="00C4244A">
        <w:rPr>
          <w:rFonts w:eastAsia="Times New Roman" w:cstheme="minorHAnsi"/>
          <w:sz w:val="28"/>
          <w:szCs w:val="28"/>
        </w:rPr>
        <w:t>$1,795,600   or (10%* 17,956, 000)</w:t>
      </w:r>
      <w:r w:rsidR="00C4244A">
        <w:rPr>
          <w:rFonts w:eastAsia="Times New Roman" w:cstheme="minorHAnsi"/>
          <w:sz w:val="28"/>
          <w:szCs w:val="28"/>
        </w:rPr>
        <w:t xml:space="preserve"> and since the </w:t>
      </w:r>
      <w:r w:rsidR="00C4244A" w:rsidRPr="00C4244A">
        <w:rPr>
          <w:rFonts w:eastAsia="Times New Roman" w:cstheme="minorHAnsi"/>
          <w:sz w:val="28"/>
          <w:szCs w:val="28"/>
        </w:rPr>
        <w:t xml:space="preserve">income </w:t>
      </w:r>
      <w:r w:rsidR="00C4244A">
        <w:rPr>
          <w:rFonts w:eastAsia="Times New Roman" w:cstheme="minorHAnsi"/>
          <w:sz w:val="28"/>
          <w:szCs w:val="28"/>
        </w:rPr>
        <w:t xml:space="preserve">return </w:t>
      </w:r>
      <w:r w:rsidR="00C4244A" w:rsidRPr="00C4244A">
        <w:rPr>
          <w:rFonts w:eastAsia="Times New Roman" w:cstheme="minorHAnsi"/>
          <w:sz w:val="28"/>
          <w:szCs w:val="28"/>
        </w:rPr>
        <w:t>from the new asset will</w:t>
      </w:r>
      <w:r w:rsidR="00C4244A">
        <w:rPr>
          <w:rFonts w:eastAsia="Times New Roman" w:cstheme="minorHAnsi"/>
          <w:sz w:val="28"/>
          <w:szCs w:val="28"/>
        </w:rPr>
        <w:t xml:space="preserve"> not</w:t>
      </w:r>
      <w:r w:rsidR="00C4244A" w:rsidRPr="00C4244A">
        <w:rPr>
          <w:rFonts w:eastAsia="Times New Roman" w:cstheme="minorHAnsi"/>
          <w:sz w:val="28"/>
          <w:szCs w:val="28"/>
        </w:rPr>
        <w:t xml:space="preserve"> exceed </w:t>
      </w:r>
      <w:r w:rsidR="00C4244A">
        <w:rPr>
          <w:rFonts w:eastAsia="Times New Roman" w:cstheme="minorHAnsi"/>
          <w:sz w:val="28"/>
          <w:szCs w:val="28"/>
        </w:rPr>
        <w:t xml:space="preserve">cost of borrowing, then the considerations is on valuation, financial health of the company, and the business conditions. Based on these factors, debt financing will be appropriate for </w:t>
      </w:r>
      <w:r w:rsidR="00C4244A" w:rsidRPr="00C4244A">
        <w:rPr>
          <w:rFonts w:eastAsia="Times New Roman" w:cstheme="minorHAnsi"/>
          <w:sz w:val="28"/>
          <w:szCs w:val="28"/>
        </w:rPr>
        <w:t>Marathon Oil Corporation</w:t>
      </w:r>
      <w:r w:rsidR="00C4244A">
        <w:rPr>
          <w:rFonts w:eastAsia="Times New Roman" w:cstheme="minorHAnsi"/>
          <w:sz w:val="28"/>
          <w:szCs w:val="28"/>
        </w:rPr>
        <w:t xml:space="preserve">. </w:t>
      </w:r>
    </w:p>
    <w:p w:rsidR="00234430" w:rsidRDefault="00234430" w:rsidP="00FC687C">
      <w:pPr>
        <w:rPr>
          <w:rFonts w:eastAsia="Times New Roman" w:cstheme="minorHAnsi"/>
          <w:sz w:val="28"/>
          <w:szCs w:val="28"/>
        </w:rPr>
      </w:pPr>
    </w:p>
    <w:p w:rsidR="00234430" w:rsidRDefault="00234430" w:rsidP="00FC687C">
      <w:pPr>
        <w:rPr>
          <w:rFonts w:eastAsia="Times New Roman" w:cstheme="minorHAnsi"/>
          <w:sz w:val="28"/>
          <w:szCs w:val="28"/>
        </w:rPr>
      </w:pPr>
    </w:p>
    <w:p w:rsidR="00234430" w:rsidRDefault="00234430" w:rsidP="00FC687C">
      <w:pPr>
        <w:rPr>
          <w:rFonts w:eastAsia="Times New Roman" w:cstheme="minorHAnsi"/>
          <w:sz w:val="28"/>
          <w:szCs w:val="28"/>
        </w:rPr>
      </w:pPr>
    </w:p>
    <w:p w:rsidR="00005909" w:rsidRDefault="00005909" w:rsidP="00FD2FBD">
      <w:pPr>
        <w:rPr>
          <w:rFonts w:eastAsia="Times New Roman" w:cstheme="minorHAnsi"/>
          <w:sz w:val="28"/>
          <w:szCs w:val="28"/>
        </w:rPr>
      </w:pPr>
    </w:p>
    <w:p w:rsidR="00005909" w:rsidRDefault="00005909" w:rsidP="00FD2FBD">
      <w:pPr>
        <w:rPr>
          <w:rFonts w:eastAsia="Times New Roman" w:cstheme="minorHAnsi"/>
          <w:sz w:val="28"/>
          <w:szCs w:val="28"/>
        </w:rPr>
      </w:pPr>
    </w:p>
    <w:p w:rsidR="00630F35" w:rsidRDefault="00790ACC" w:rsidP="00FD2FBD">
      <w:pPr>
        <w:rPr>
          <w:rFonts w:eastAsia="Times New Roman" w:cstheme="minorHAnsi"/>
          <w:b/>
          <w:sz w:val="28"/>
          <w:szCs w:val="28"/>
        </w:rPr>
      </w:pPr>
      <w:r w:rsidRPr="00790ACC">
        <w:rPr>
          <w:rFonts w:eastAsia="Times New Roman" w:cstheme="minorHAnsi"/>
          <w:b/>
          <w:sz w:val="28"/>
          <w:szCs w:val="28"/>
        </w:rPr>
        <w:lastRenderedPageBreak/>
        <w:t xml:space="preserve">References </w:t>
      </w:r>
    </w:p>
    <w:p w:rsidR="00D63DE6" w:rsidRPr="00630F35" w:rsidRDefault="00D63DE6" w:rsidP="00D63DE6">
      <w:pPr>
        <w:rPr>
          <w:rFonts w:eastAsia="Times New Roman" w:cstheme="minorHAnsi"/>
          <w:sz w:val="28"/>
          <w:szCs w:val="28"/>
        </w:rPr>
      </w:pPr>
      <w:proofErr w:type="gramStart"/>
      <w:r>
        <w:rPr>
          <w:rFonts w:eastAsia="Times New Roman" w:cstheme="minorHAnsi"/>
          <w:sz w:val="28"/>
          <w:szCs w:val="28"/>
        </w:rPr>
        <w:t>A</w:t>
      </w:r>
      <w:r w:rsidRPr="00D63DE6">
        <w:rPr>
          <w:rFonts w:eastAsia="Times New Roman" w:cstheme="minorHAnsi"/>
          <w:sz w:val="28"/>
          <w:szCs w:val="28"/>
        </w:rPr>
        <w:t xml:space="preserve">nnualreports.com </w:t>
      </w:r>
      <w:r>
        <w:rPr>
          <w:rFonts w:eastAsia="Times New Roman" w:cstheme="minorHAnsi"/>
          <w:sz w:val="28"/>
          <w:szCs w:val="28"/>
        </w:rPr>
        <w:t>(2021).</w:t>
      </w:r>
      <w:proofErr w:type="gramEnd"/>
      <w:r>
        <w:rPr>
          <w:rFonts w:eastAsia="Times New Roman" w:cstheme="minorHAnsi"/>
          <w:sz w:val="28"/>
          <w:szCs w:val="28"/>
        </w:rPr>
        <w:t xml:space="preserve"> </w:t>
      </w:r>
      <w:r w:rsidRPr="00D63DE6">
        <w:rPr>
          <w:rFonts w:eastAsia="Times New Roman" w:cstheme="minorHAnsi"/>
          <w:i/>
          <w:sz w:val="28"/>
          <w:szCs w:val="28"/>
        </w:rPr>
        <w:t xml:space="preserve">Marathon oil Corporation </w:t>
      </w:r>
      <w:r w:rsidRPr="00D63DE6">
        <w:rPr>
          <w:rFonts w:eastAsia="Times New Roman" w:cstheme="minorHAnsi"/>
          <w:sz w:val="28"/>
          <w:szCs w:val="28"/>
        </w:rPr>
        <w:t>Retrieved from: https://www.annualreports.com/Company/marathon-oil-corporation</w:t>
      </w:r>
    </w:p>
    <w:p w:rsidR="00630F35" w:rsidRPr="00630F35" w:rsidRDefault="00C4244A" w:rsidP="00630F35">
      <w:pPr>
        <w:rPr>
          <w:rFonts w:eastAsia="Times New Roman" w:cstheme="minorHAnsi"/>
          <w:sz w:val="28"/>
          <w:szCs w:val="28"/>
        </w:rPr>
      </w:pPr>
      <w:proofErr w:type="gramStart"/>
      <w:r w:rsidRPr="00C4244A">
        <w:rPr>
          <w:rFonts w:eastAsia="Times New Roman" w:cstheme="minorHAnsi"/>
          <w:sz w:val="28"/>
          <w:szCs w:val="28"/>
        </w:rPr>
        <w:t xml:space="preserve">Investing.com </w:t>
      </w:r>
      <w:r>
        <w:rPr>
          <w:rFonts w:eastAsia="Times New Roman" w:cstheme="minorHAnsi"/>
          <w:sz w:val="28"/>
          <w:szCs w:val="28"/>
        </w:rPr>
        <w:t>(2021).</w:t>
      </w:r>
      <w:proofErr w:type="gramEnd"/>
      <w:r>
        <w:rPr>
          <w:rFonts w:eastAsia="Times New Roman" w:cstheme="minorHAnsi"/>
          <w:sz w:val="28"/>
          <w:szCs w:val="28"/>
        </w:rPr>
        <w:t xml:space="preserve"> </w:t>
      </w:r>
      <w:r w:rsidR="00BB0FB7" w:rsidRPr="00C4244A">
        <w:rPr>
          <w:rFonts w:eastAsia="Times New Roman" w:cstheme="minorHAnsi"/>
          <w:i/>
          <w:sz w:val="28"/>
          <w:szCs w:val="28"/>
        </w:rPr>
        <w:t>Marathon Oil Corporation (MRO).</w:t>
      </w:r>
      <w:r w:rsidR="00BB0FB7">
        <w:rPr>
          <w:rFonts w:eastAsia="Times New Roman" w:cstheme="minorHAnsi"/>
          <w:sz w:val="28"/>
          <w:szCs w:val="28"/>
        </w:rPr>
        <w:t xml:space="preserve"> </w:t>
      </w:r>
      <w:r>
        <w:rPr>
          <w:rFonts w:eastAsia="Times New Roman" w:cstheme="minorHAnsi"/>
          <w:sz w:val="28"/>
          <w:szCs w:val="28"/>
        </w:rPr>
        <w:t xml:space="preserve">Retrieved from: </w:t>
      </w:r>
      <w:r w:rsidR="00BB0FB7" w:rsidRPr="00BB0FB7">
        <w:rPr>
          <w:rFonts w:eastAsia="Times New Roman" w:cstheme="minorHAnsi"/>
          <w:sz w:val="28"/>
          <w:szCs w:val="28"/>
        </w:rPr>
        <w:t>https://www.investing.com/equities/marathon-oil-ratios</w:t>
      </w:r>
    </w:p>
    <w:p w:rsidR="00C4244A" w:rsidRDefault="00C4244A" w:rsidP="00630F35">
      <w:pPr>
        <w:rPr>
          <w:rFonts w:eastAsia="Times New Roman" w:cstheme="minorHAnsi"/>
          <w:sz w:val="28"/>
          <w:szCs w:val="28"/>
        </w:rPr>
      </w:pPr>
      <w:r w:rsidRPr="00C4244A">
        <w:rPr>
          <w:rFonts w:eastAsia="Times New Roman" w:cstheme="minorHAnsi"/>
          <w:sz w:val="28"/>
          <w:szCs w:val="28"/>
        </w:rPr>
        <w:t xml:space="preserve">Ling, Z. (2020). </w:t>
      </w:r>
      <w:proofErr w:type="gramStart"/>
      <w:r w:rsidRPr="00C4244A">
        <w:rPr>
          <w:rFonts w:eastAsia="Times New Roman" w:cstheme="minorHAnsi"/>
          <w:sz w:val="28"/>
          <w:szCs w:val="28"/>
        </w:rPr>
        <w:t>A research on the effect of equity and debt financing on technological innovation performance.</w:t>
      </w:r>
      <w:proofErr w:type="gramEnd"/>
      <w:r w:rsidRPr="00C4244A">
        <w:rPr>
          <w:rFonts w:eastAsia="Times New Roman" w:cstheme="minorHAnsi"/>
          <w:sz w:val="28"/>
          <w:szCs w:val="28"/>
        </w:rPr>
        <w:t xml:space="preserve"> </w:t>
      </w:r>
      <w:proofErr w:type="gramStart"/>
      <w:r w:rsidRPr="00C4244A">
        <w:rPr>
          <w:rFonts w:eastAsia="Times New Roman" w:cstheme="minorHAnsi"/>
          <w:i/>
          <w:sz w:val="28"/>
          <w:szCs w:val="28"/>
        </w:rPr>
        <w:t>Science Research Management, 41</w:t>
      </w:r>
      <w:r w:rsidRPr="00C4244A">
        <w:rPr>
          <w:rFonts w:eastAsia="Times New Roman" w:cstheme="minorHAnsi"/>
          <w:sz w:val="28"/>
          <w:szCs w:val="28"/>
        </w:rPr>
        <w:t>(8), 95.</w:t>
      </w:r>
      <w:proofErr w:type="gramEnd"/>
    </w:p>
    <w:p w:rsidR="00630F35" w:rsidRPr="00630F35" w:rsidRDefault="00C4244A" w:rsidP="00630F35">
      <w:pPr>
        <w:rPr>
          <w:rFonts w:eastAsia="Times New Roman" w:cstheme="minorHAnsi"/>
          <w:sz w:val="28"/>
          <w:szCs w:val="28"/>
        </w:rPr>
      </w:pPr>
      <w:proofErr w:type="gramStart"/>
      <w:r w:rsidRPr="00C4244A">
        <w:rPr>
          <w:rFonts w:eastAsia="Times New Roman" w:cstheme="minorHAnsi"/>
          <w:sz w:val="28"/>
          <w:szCs w:val="28"/>
        </w:rPr>
        <w:t xml:space="preserve">Marketwatch.com </w:t>
      </w:r>
      <w:r>
        <w:rPr>
          <w:rFonts w:eastAsia="Times New Roman" w:cstheme="minorHAnsi"/>
          <w:sz w:val="28"/>
          <w:szCs w:val="28"/>
        </w:rPr>
        <w:t>(2021).</w:t>
      </w:r>
      <w:proofErr w:type="gramEnd"/>
      <w:r>
        <w:rPr>
          <w:rFonts w:eastAsia="Times New Roman" w:cstheme="minorHAnsi"/>
          <w:sz w:val="28"/>
          <w:szCs w:val="28"/>
        </w:rPr>
        <w:t xml:space="preserve"> </w:t>
      </w:r>
      <w:proofErr w:type="gramStart"/>
      <w:r w:rsidRPr="00C4244A">
        <w:rPr>
          <w:rFonts w:eastAsia="Times New Roman" w:cstheme="minorHAnsi"/>
          <w:i/>
          <w:sz w:val="28"/>
          <w:szCs w:val="28"/>
        </w:rPr>
        <w:t>Financials balance-sheet.</w:t>
      </w:r>
      <w:proofErr w:type="gramEnd"/>
      <w:r w:rsidRPr="00C4244A">
        <w:rPr>
          <w:rFonts w:eastAsia="Times New Roman" w:cstheme="minorHAnsi"/>
          <w:i/>
          <w:sz w:val="28"/>
          <w:szCs w:val="28"/>
        </w:rPr>
        <w:t xml:space="preserve"> </w:t>
      </w:r>
      <w:r w:rsidRPr="00C4244A">
        <w:rPr>
          <w:rFonts w:eastAsia="Times New Roman" w:cstheme="minorHAnsi"/>
          <w:sz w:val="28"/>
          <w:szCs w:val="28"/>
        </w:rPr>
        <w:t>Retrieved from: https://www.marketwatch.com/investing/stock/mro/financials/balance-sheet</w:t>
      </w:r>
    </w:p>
    <w:p w:rsidR="00630F35" w:rsidRPr="00630F35" w:rsidRDefault="00D63DE6" w:rsidP="00630F35">
      <w:pPr>
        <w:rPr>
          <w:rFonts w:eastAsia="Times New Roman" w:cstheme="minorHAnsi"/>
          <w:sz w:val="28"/>
          <w:szCs w:val="28"/>
        </w:rPr>
      </w:pPr>
      <w:proofErr w:type="gramStart"/>
      <w:r w:rsidRPr="00D63DE6">
        <w:rPr>
          <w:rFonts w:eastAsia="Times New Roman" w:cstheme="minorHAnsi"/>
          <w:sz w:val="28"/>
          <w:szCs w:val="28"/>
        </w:rPr>
        <w:t xml:space="preserve">Zeller, T., </w:t>
      </w:r>
      <w:proofErr w:type="spellStart"/>
      <w:r w:rsidRPr="00D63DE6">
        <w:rPr>
          <w:rFonts w:eastAsia="Times New Roman" w:cstheme="minorHAnsi"/>
          <w:sz w:val="28"/>
          <w:szCs w:val="28"/>
        </w:rPr>
        <w:t>Kostolansky</w:t>
      </w:r>
      <w:proofErr w:type="spellEnd"/>
      <w:r w:rsidRPr="00D63DE6">
        <w:rPr>
          <w:rFonts w:eastAsia="Times New Roman" w:cstheme="minorHAnsi"/>
          <w:sz w:val="28"/>
          <w:szCs w:val="28"/>
        </w:rPr>
        <w:t xml:space="preserve">, J., &amp; </w:t>
      </w:r>
      <w:proofErr w:type="spellStart"/>
      <w:r w:rsidRPr="00D63DE6">
        <w:rPr>
          <w:rFonts w:eastAsia="Times New Roman" w:cstheme="minorHAnsi"/>
          <w:sz w:val="28"/>
          <w:szCs w:val="28"/>
        </w:rPr>
        <w:t>Bozoudis</w:t>
      </w:r>
      <w:proofErr w:type="spellEnd"/>
      <w:r w:rsidRPr="00D63DE6">
        <w:rPr>
          <w:rFonts w:eastAsia="Times New Roman" w:cstheme="minorHAnsi"/>
          <w:sz w:val="28"/>
          <w:szCs w:val="28"/>
        </w:rPr>
        <w:t>, M. (2019).</w:t>
      </w:r>
      <w:proofErr w:type="gramEnd"/>
      <w:r w:rsidRPr="00D63DE6">
        <w:rPr>
          <w:rFonts w:eastAsia="Times New Roman" w:cstheme="minorHAnsi"/>
          <w:sz w:val="28"/>
          <w:szCs w:val="28"/>
        </w:rPr>
        <w:t xml:space="preserve"> </w:t>
      </w:r>
      <w:proofErr w:type="gramStart"/>
      <w:r w:rsidRPr="00D63DE6">
        <w:rPr>
          <w:rFonts w:eastAsia="Times New Roman" w:cstheme="minorHAnsi"/>
          <w:sz w:val="28"/>
          <w:szCs w:val="28"/>
        </w:rPr>
        <w:t>An IFRS-based taxonomy of financial ratios.</w:t>
      </w:r>
      <w:proofErr w:type="gramEnd"/>
      <w:r w:rsidRPr="00D63DE6">
        <w:rPr>
          <w:rFonts w:eastAsia="Times New Roman" w:cstheme="minorHAnsi"/>
          <w:sz w:val="28"/>
          <w:szCs w:val="28"/>
        </w:rPr>
        <w:t xml:space="preserve"> </w:t>
      </w:r>
      <w:proofErr w:type="gramStart"/>
      <w:r w:rsidRPr="00D63DE6">
        <w:rPr>
          <w:rFonts w:eastAsia="Times New Roman" w:cstheme="minorHAnsi"/>
          <w:i/>
          <w:sz w:val="28"/>
          <w:szCs w:val="28"/>
        </w:rPr>
        <w:t>Accounting Research Journal</w:t>
      </w:r>
      <w:r w:rsidRPr="00D63DE6">
        <w:rPr>
          <w:rFonts w:eastAsia="Times New Roman" w:cstheme="minorHAnsi"/>
          <w:sz w:val="28"/>
          <w:szCs w:val="28"/>
        </w:rPr>
        <w:t>.</w:t>
      </w:r>
      <w:proofErr w:type="gramEnd"/>
    </w:p>
    <w:p w:rsidR="00630F35" w:rsidRPr="00630F35" w:rsidRDefault="00630F35" w:rsidP="00630F35">
      <w:pPr>
        <w:rPr>
          <w:rFonts w:eastAsia="Times New Roman" w:cstheme="minorHAnsi"/>
          <w:sz w:val="28"/>
          <w:szCs w:val="28"/>
        </w:rPr>
      </w:pPr>
    </w:p>
    <w:p w:rsidR="00630F35" w:rsidRPr="00630F35" w:rsidRDefault="00630F35" w:rsidP="00630F35">
      <w:pPr>
        <w:rPr>
          <w:rFonts w:eastAsia="Times New Roman" w:cstheme="minorHAnsi"/>
          <w:sz w:val="28"/>
          <w:szCs w:val="28"/>
        </w:rPr>
      </w:pPr>
    </w:p>
    <w:p w:rsidR="00630F35" w:rsidRPr="00630F35" w:rsidRDefault="00630F35" w:rsidP="00630F35">
      <w:pPr>
        <w:rPr>
          <w:rFonts w:eastAsia="Times New Roman" w:cstheme="minorHAnsi"/>
          <w:sz w:val="28"/>
          <w:szCs w:val="28"/>
        </w:rPr>
      </w:pPr>
    </w:p>
    <w:p w:rsidR="00630F35" w:rsidRDefault="00630F35" w:rsidP="00630F35">
      <w:pPr>
        <w:rPr>
          <w:rFonts w:eastAsia="Times New Roman" w:cstheme="minorHAnsi"/>
          <w:sz w:val="28"/>
          <w:szCs w:val="28"/>
        </w:rPr>
      </w:pPr>
    </w:p>
    <w:p w:rsidR="00630F35" w:rsidRPr="00630F35" w:rsidRDefault="00630F35" w:rsidP="00630F35">
      <w:pPr>
        <w:rPr>
          <w:rFonts w:eastAsia="Times New Roman" w:cstheme="minorHAnsi"/>
          <w:sz w:val="28"/>
          <w:szCs w:val="28"/>
        </w:rPr>
      </w:pPr>
    </w:p>
    <w:p w:rsidR="00630F35" w:rsidRPr="00630F35" w:rsidRDefault="00630F35" w:rsidP="00630F35">
      <w:pPr>
        <w:rPr>
          <w:rFonts w:eastAsia="Times New Roman" w:cstheme="minorHAnsi"/>
          <w:sz w:val="28"/>
          <w:szCs w:val="28"/>
        </w:rPr>
      </w:pPr>
    </w:p>
    <w:p w:rsidR="00630F35" w:rsidRPr="00630F35" w:rsidRDefault="00630F35" w:rsidP="00630F35">
      <w:pPr>
        <w:rPr>
          <w:rFonts w:eastAsia="Times New Roman" w:cstheme="minorHAnsi"/>
          <w:sz w:val="28"/>
          <w:szCs w:val="28"/>
        </w:rPr>
      </w:pPr>
    </w:p>
    <w:p w:rsidR="00630F35" w:rsidRPr="00630F35" w:rsidRDefault="00630F35" w:rsidP="00630F35">
      <w:pPr>
        <w:rPr>
          <w:rFonts w:eastAsia="Times New Roman" w:cstheme="minorHAnsi"/>
          <w:sz w:val="28"/>
          <w:szCs w:val="28"/>
        </w:rPr>
      </w:pPr>
    </w:p>
    <w:p w:rsidR="00630F35" w:rsidRDefault="00C4244A" w:rsidP="00630F35">
      <w:pPr>
        <w:rPr>
          <w:rFonts w:eastAsia="Times New Roman" w:cstheme="minorHAnsi"/>
          <w:sz w:val="28"/>
          <w:szCs w:val="28"/>
        </w:rPr>
      </w:pPr>
      <w:r>
        <w:rPr>
          <w:rFonts w:eastAsia="Times New Roman" w:cstheme="minorHAnsi"/>
          <w:sz w:val="28"/>
          <w:szCs w:val="28"/>
        </w:rPr>
        <w:t>‘</w:t>
      </w:r>
    </w:p>
    <w:p w:rsidR="00C4244A" w:rsidRDefault="00C4244A" w:rsidP="00630F35">
      <w:pPr>
        <w:rPr>
          <w:rFonts w:eastAsia="Times New Roman" w:cstheme="minorHAnsi"/>
          <w:sz w:val="28"/>
          <w:szCs w:val="28"/>
        </w:rPr>
      </w:pPr>
    </w:p>
    <w:p w:rsidR="00C4244A" w:rsidRDefault="00C4244A" w:rsidP="00630F35">
      <w:pPr>
        <w:rPr>
          <w:rFonts w:eastAsia="Times New Roman" w:cstheme="minorHAnsi"/>
          <w:sz w:val="28"/>
          <w:szCs w:val="28"/>
        </w:rPr>
      </w:pPr>
    </w:p>
    <w:p w:rsidR="00C4244A" w:rsidRDefault="00C4244A" w:rsidP="00630F35">
      <w:pPr>
        <w:rPr>
          <w:rFonts w:eastAsia="Times New Roman" w:cstheme="minorHAnsi"/>
          <w:sz w:val="28"/>
          <w:szCs w:val="28"/>
        </w:rPr>
      </w:pPr>
    </w:p>
    <w:p w:rsidR="00630F35" w:rsidRDefault="00630F35" w:rsidP="00630F35">
      <w:pPr>
        <w:rPr>
          <w:rFonts w:eastAsia="Times New Roman" w:cstheme="minorHAnsi"/>
          <w:sz w:val="28"/>
          <w:szCs w:val="28"/>
        </w:rPr>
      </w:pPr>
      <w:bookmarkStart w:id="0" w:name="_GoBack"/>
      <w:bookmarkEnd w:id="0"/>
      <w:r>
        <w:rPr>
          <w:rFonts w:eastAsia="Times New Roman" w:cstheme="minorHAnsi"/>
          <w:sz w:val="28"/>
          <w:szCs w:val="28"/>
        </w:rPr>
        <w:lastRenderedPageBreak/>
        <w:t xml:space="preserve">Appendix 1: </w:t>
      </w:r>
      <w:r w:rsidR="00BB0FB7">
        <w:rPr>
          <w:rFonts w:eastAsia="Times New Roman" w:cstheme="minorHAnsi"/>
          <w:sz w:val="28"/>
          <w:szCs w:val="28"/>
        </w:rPr>
        <w:t xml:space="preserve">Company and </w:t>
      </w:r>
      <w:r>
        <w:rPr>
          <w:rFonts w:eastAsia="Times New Roman" w:cstheme="minorHAnsi"/>
          <w:sz w:val="28"/>
          <w:szCs w:val="28"/>
        </w:rPr>
        <w:t>Industry ratio</w:t>
      </w:r>
    </w:p>
    <w:tbl>
      <w:tblPr>
        <w:tblW w:w="6900" w:type="dxa"/>
        <w:tblInd w:w="93" w:type="dxa"/>
        <w:tblLook w:val="04A0" w:firstRow="1" w:lastRow="0" w:firstColumn="1" w:lastColumn="0" w:noHBand="0" w:noVBand="1"/>
      </w:tblPr>
      <w:tblGrid>
        <w:gridCol w:w="3460"/>
        <w:gridCol w:w="1540"/>
        <w:gridCol w:w="1900"/>
      </w:tblGrid>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Name</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Company</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Industry</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P/E Ratio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44.72</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Price to Sales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3.52</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12.48</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Price to Cash Flow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202.12</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715.66</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Price to Free Cash Flow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12.34</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98.7</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Price to Book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1.26</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2.58</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Price to Tangible Book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1.25</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3.05</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Gross margin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0.8648</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46.68</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Gross Margin 5YA</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0.8251</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46.77</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Operating margin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-0.0835</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-10.85</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Operating margin 5YA</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0.0029</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-26.44</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Pretax margin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-0.1365</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-14.13</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Pretax margin 5YA</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-0.056</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-26.85</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Net Profit margin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-0.1428</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-16.87</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Net Profit margin 5YA</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-0.1252</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-29.3</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Revenue/Share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4.8</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68.01</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Basic EPS ANN</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-1.83</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-6.29</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Diluted EPS ANN</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-1.83</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-6.3</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Book Value/Share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13.48</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54.24</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Tangible Book Value/Share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13.48</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51.69</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Cash/Share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1.23</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9.22</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Cash Flow/Share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1.98</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9.72</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Return on Equity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-0.0497</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1.71</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Return on Equity 5YA</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-0.0415</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4.18</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Return on Assets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-0.0298</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2.52</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Return on Assets 5YA</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-0.0236</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-11.7</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Return on Investment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-0.0321</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3.63</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Return on Investment 5YA</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-0.0256</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3.48</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 xml:space="preserve">EPS(MRQ) </w:t>
            </w:r>
            <w:proofErr w:type="spellStart"/>
            <w:r w:rsidRPr="00630F35">
              <w:rPr>
                <w:rFonts w:ascii="Calibri" w:eastAsia="Times New Roman" w:hAnsi="Calibri" w:cs="Calibri"/>
                <w:color w:val="000000"/>
              </w:rPr>
              <w:t>vs</w:t>
            </w:r>
            <w:proofErr w:type="spellEnd"/>
            <w:r w:rsidRPr="00630F35">
              <w:rPr>
                <w:rFonts w:ascii="Calibri" w:eastAsia="Times New Roman" w:hAnsi="Calibri" w:cs="Calibri"/>
                <w:color w:val="000000"/>
              </w:rPr>
              <w:t xml:space="preserve"> Qtr. 1 Yr. Ago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1.0214</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690.58</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 xml:space="preserve">EPS(TTM) </w:t>
            </w:r>
            <w:proofErr w:type="spellStart"/>
            <w:r w:rsidRPr="00630F35">
              <w:rPr>
                <w:rFonts w:ascii="Calibri" w:eastAsia="Times New Roman" w:hAnsi="Calibri" w:cs="Calibri"/>
                <w:color w:val="000000"/>
              </w:rPr>
              <w:t>vs</w:t>
            </w:r>
            <w:proofErr w:type="spellEnd"/>
            <w:r w:rsidRPr="00630F35">
              <w:rPr>
                <w:rFonts w:ascii="Calibri" w:eastAsia="Times New Roman" w:hAnsi="Calibri" w:cs="Calibri"/>
                <w:color w:val="000000"/>
              </w:rPr>
              <w:t xml:space="preserve"> TTM 1 Yr. Ago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0.1717</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715.07</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5 Year EPS Growth 5YA</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-17.19</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 xml:space="preserve">Sales (MRQ) </w:t>
            </w:r>
            <w:proofErr w:type="spellStart"/>
            <w:r w:rsidRPr="00630F35">
              <w:rPr>
                <w:rFonts w:ascii="Calibri" w:eastAsia="Times New Roman" w:hAnsi="Calibri" w:cs="Calibri"/>
                <w:color w:val="000000"/>
              </w:rPr>
              <w:t>vs</w:t>
            </w:r>
            <w:proofErr w:type="spellEnd"/>
            <w:r w:rsidRPr="00630F35">
              <w:rPr>
                <w:rFonts w:ascii="Calibri" w:eastAsia="Times New Roman" w:hAnsi="Calibri" w:cs="Calibri"/>
                <w:color w:val="000000"/>
              </w:rPr>
              <w:t xml:space="preserve"> Qtr. 1 Yr. Ago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3.1679</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117.64</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 xml:space="preserve">Sales (TTM) </w:t>
            </w:r>
            <w:proofErr w:type="spellStart"/>
            <w:r w:rsidRPr="00630F35">
              <w:rPr>
                <w:rFonts w:ascii="Calibri" w:eastAsia="Times New Roman" w:hAnsi="Calibri" w:cs="Calibri"/>
                <w:color w:val="000000"/>
              </w:rPr>
              <w:t>vs</w:t>
            </w:r>
            <w:proofErr w:type="spellEnd"/>
            <w:r w:rsidRPr="00630F35">
              <w:rPr>
                <w:rFonts w:ascii="Calibri" w:eastAsia="Times New Roman" w:hAnsi="Calibri" w:cs="Calibri"/>
                <w:color w:val="000000"/>
              </w:rPr>
              <w:t xml:space="preserve"> TTM 1 Yr. Ago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-0.0604</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6.96</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5 Year Sales Growth 5YA</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-0.0863</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0.98</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5 Year Capital Spending Growth 5YA</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-0.1736</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-6.63</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Quick Ratio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1.27</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1.4</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Current Ratio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1.32</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1.64</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LT Debt to Equity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0.4584</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69.65</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Total Debt to Equity MRQ</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0.4615</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74.03</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Efficiency</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lastRenderedPageBreak/>
              <w:t>Asset Turnover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0.21</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0.51</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Inventory Turnover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6.62</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12.79</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Revenue/Employee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2.27M</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2.31M</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Net Income/Employee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-324.16K</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61.78K</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Receivable Turnover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4.66</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10.2</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Dividend Yield ANN</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0.0142</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3.19</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Dividend Yield 5 Year Avg. 5YA</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0.0132</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3.91</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Dividend Growth Rate ANN</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-0.1807</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14.28</w:t>
            </w:r>
          </w:p>
        </w:tc>
      </w:tr>
      <w:tr w:rsidR="00630F35" w:rsidRPr="00630F35" w:rsidTr="00630F35">
        <w:trPr>
          <w:trHeight w:val="300"/>
        </w:trPr>
        <w:tc>
          <w:tcPr>
            <w:tcW w:w="346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rPr>
                <w:rFonts w:ascii="Calibri" w:eastAsia="Times New Roman" w:hAnsi="Calibri" w:cs="Calibri"/>
                <w:color w:val="000000"/>
              </w:rPr>
            </w:pPr>
            <w:r w:rsidRPr="00630F35">
              <w:rPr>
                <w:rFonts w:ascii="Calibri" w:eastAsia="Times New Roman" w:hAnsi="Calibri" w:cs="Calibri"/>
                <w:color w:val="000000"/>
              </w:rPr>
              <w:t>Payout Ratio TTM</w:t>
            </w:r>
          </w:p>
        </w:tc>
        <w:tc>
          <w:tcPr>
            <w:tcW w:w="154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w:t>
            </w:r>
          </w:p>
        </w:tc>
        <w:tc>
          <w:tcPr>
            <w:tcW w:w="1900" w:type="dxa"/>
            <w:tcBorders>
              <w:top w:val="nil"/>
              <w:left w:val="nil"/>
              <w:bottom w:val="nil"/>
              <w:right w:val="nil"/>
            </w:tcBorders>
            <w:shd w:val="clear" w:color="auto" w:fill="auto"/>
            <w:noWrap/>
            <w:vAlign w:val="bottom"/>
            <w:hideMark/>
          </w:tcPr>
          <w:p w:rsidR="00630F35" w:rsidRPr="00630F35" w:rsidRDefault="00630F35" w:rsidP="00630F35">
            <w:pPr>
              <w:spacing w:after="0" w:line="240" w:lineRule="auto"/>
              <w:jc w:val="center"/>
              <w:rPr>
                <w:rFonts w:ascii="Calibri" w:eastAsia="Times New Roman" w:hAnsi="Calibri" w:cs="Calibri"/>
                <w:color w:val="000000"/>
              </w:rPr>
            </w:pPr>
            <w:r w:rsidRPr="00630F35">
              <w:rPr>
                <w:rFonts w:ascii="Calibri" w:eastAsia="Times New Roman" w:hAnsi="Calibri" w:cs="Calibri"/>
                <w:color w:val="000000"/>
              </w:rPr>
              <w:t>105.89</w:t>
            </w:r>
          </w:p>
        </w:tc>
      </w:tr>
    </w:tbl>
    <w:p w:rsidR="00630F35" w:rsidRPr="00630F35" w:rsidRDefault="00630F35" w:rsidP="00630F35">
      <w:pPr>
        <w:rPr>
          <w:rFonts w:eastAsia="Times New Roman" w:cstheme="minorHAnsi"/>
          <w:sz w:val="28"/>
          <w:szCs w:val="28"/>
        </w:rPr>
      </w:pPr>
    </w:p>
    <w:p w:rsidR="00630F35" w:rsidRDefault="00BB0FB7" w:rsidP="00630F35">
      <w:pPr>
        <w:rPr>
          <w:rFonts w:eastAsia="Times New Roman" w:cstheme="minorHAnsi"/>
          <w:sz w:val="28"/>
          <w:szCs w:val="28"/>
        </w:rPr>
      </w:pPr>
      <w:r w:rsidRPr="00BB0FB7">
        <w:rPr>
          <w:rFonts w:eastAsia="Times New Roman" w:cstheme="minorHAnsi"/>
          <w:sz w:val="28"/>
          <w:szCs w:val="28"/>
        </w:rPr>
        <w:t>https://www.investing.com/equities/marathon-oil-ratios</w:t>
      </w:r>
    </w:p>
    <w:p w:rsidR="00FD2FBD" w:rsidRPr="00630F35" w:rsidRDefault="00FD2FBD" w:rsidP="00630F35">
      <w:pPr>
        <w:rPr>
          <w:rFonts w:eastAsia="Times New Roman" w:cstheme="minorHAnsi"/>
          <w:sz w:val="28"/>
          <w:szCs w:val="28"/>
        </w:rPr>
      </w:pPr>
    </w:p>
    <w:sectPr w:rsidR="00FD2FBD" w:rsidRPr="00630F3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44A" w:rsidRDefault="00C4244A" w:rsidP="00DC1D4F">
      <w:pPr>
        <w:spacing w:after="0" w:line="240" w:lineRule="auto"/>
      </w:pPr>
      <w:r>
        <w:separator/>
      </w:r>
    </w:p>
  </w:endnote>
  <w:endnote w:type="continuationSeparator" w:id="0">
    <w:p w:rsidR="00C4244A" w:rsidRDefault="00C4244A" w:rsidP="00DC1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44A" w:rsidRDefault="00C4244A" w:rsidP="00DC1D4F">
      <w:pPr>
        <w:spacing w:after="0" w:line="240" w:lineRule="auto"/>
      </w:pPr>
      <w:r>
        <w:separator/>
      </w:r>
    </w:p>
  </w:footnote>
  <w:footnote w:type="continuationSeparator" w:id="0">
    <w:p w:rsidR="00C4244A" w:rsidRDefault="00C4244A" w:rsidP="00DC1D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244A" w:rsidRDefault="00C4244A">
    <w:pPr>
      <w:pStyle w:val="Header"/>
    </w:pPr>
    <w:r>
      <w:tab/>
    </w: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73959"/>
    <w:multiLevelType w:val="hybridMultilevel"/>
    <w:tmpl w:val="8A08D53C"/>
    <w:lvl w:ilvl="0" w:tplc="F99A2BAC">
      <w:start w:val="1"/>
      <w:numFmt w:val="bullet"/>
      <w:lvlText w:val="•"/>
      <w:lvlJc w:val="left"/>
      <w:pPr>
        <w:tabs>
          <w:tab w:val="num" w:pos="720"/>
        </w:tabs>
        <w:ind w:left="720" w:hanging="360"/>
      </w:pPr>
      <w:rPr>
        <w:rFonts w:ascii="Arial" w:hAnsi="Arial" w:hint="default"/>
      </w:rPr>
    </w:lvl>
    <w:lvl w:ilvl="1" w:tplc="BF3A9C72">
      <w:start w:val="2874"/>
      <w:numFmt w:val="bullet"/>
      <w:lvlText w:val="•"/>
      <w:lvlJc w:val="left"/>
      <w:pPr>
        <w:tabs>
          <w:tab w:val="num" w:pos="1440"/>
        </w:tabs>
        <w:ind w:left="1440" w:hanging="360"/>
      </w:pPr>
      <w:rPr>
        <w:rFonts w:ascii="Arial" w:hAnsi="Arial" w:hint="default"/>
      </w:rPr>
    </w:lvl>
    <w:lvl w:ilvl="2" w:tplc="32B22F46" w:tentative="1">
      <w:start w:val="1"/>
      <w:numFmt w:val="bullet"/>
      <w:lvlText w:val="•"/>
      <w:lvlJc w:val="left"/>
      <w:pPr>
        <w:tabs>
          <w:tab w:val="num" w:pos="2160"/>
        </w:tabs>
        <w:ind w:left="2160" w:hanging="360"/>
      </w:pPr>
      <w:rPr>
        <w:rFonts w:ascii="Arial" w:hAnsi="Arial" w:hint="default"/>
      </w:rPr>
    </w:lvl>
    <w:lvl w:ilvl="3" w:tplc="2072FE38" w:tentative="1">
      <w:start w:val="1"/>
      <w:numFmt w:val="bullet"/>
      <w:lvlText w:val="•"/>
      <w:lvlJc w:val="left"/>
      <w:pPr>
        <w:tabs>
          <w:tab w:val="num" w:pos="2880"/>
        </w:tabs>
        <w:ind w:left="2880" w:hanging="360"/>
      </w:pPr>
      <w:rPr>
        <w:rFonts w:ascii="Arial" w:hAnsi="Arial" w:hint="default"/>
      </w:rPr>
    </w:lvl>
    <w:lvl w:ilvl="4" w:tplc="3D6CBD64" w:tentative="1">
      <w:start w:val="1"/>
      <w:numFmt w:val="bullet"/>
      <w:lvlText w:val="•"/>
      <w:lvlJc w:val="left"/>
      <w:pPr>
        <w:tabs>
          <w:tab w:val="num" w:pos="3600"/>
        </w:tabs>
        <w:ind w:left="3600" w:hanging="360"/>
      </w:pPr>
      <w:rPr>
        <w:rFonts w:ascii="Arial" w:hAnsi="Arial" w:hint="default"/>
      </w:rPr>
    </w:lvl>
    <w:lvl w:ilvl="5" w:tplc="607A9420" w:tentative="1">
      <w:start w:val="1"/>
      <w:numFmt w:val="bullet"/>
      <w:lvlText w:val="•"/>
      <w:lvlJc w:val="left"/>
      <w:pPr>
        <w:tabs>
          <w:tab w:val="num" w:pos="4320"/>
        </w:tabs>
        <w:ind w:left="4320" w:hanging="360"/>
      </w:pPr>
      <w:rPr>
        <w:rFonts w:ascii="Arial" w:hAnsi="Arial" w:hint="default"/>
      </w:rPr>
    </w:lvl>
    <w:lvl w:ilvl="6" w:tplc="188AD664" w:tentative="1">
      <w:start w:val="1"/>
      <w:numFmt w:val="bullet"/>
      <w:lvlText w:val="•"/>
      <w:lvlJc w:val="left"/>
      <w:pPr>
        <w:tabs>
          <w:tab w:val="num" w:pos="5040"/>
        </w:tabs>
        <w:ind w:left="5040" w:hanging="360"/>
      </w:pPr>
      <w:rPr>
        <w:rFonts w:ascii="Arial" w:hAnsi="Arial" w:hint="default"/>
      </w:rPr>
    </w:lvl>
    <w:lvl w:ilvl="7" w:tplc="33E09DFC" w:tentative="1">
      <w:start w:val="1"/>
      <w:numFmt w:val="bullet"/>
      <w:lvlText w:val="•"/>
      <w:lvlJc w:val="left"/>
      <w:pPr>
        <w:tabs>
          <w:tab w:val="num" w:pos="5760"/>
        </w:tabs>
        <w:ind w:left="5760" w:hanging="360"/>
      </w:pPr>
      <w:rPr>
        <w:rFonts w:ascii="Arial" w:hAnsi="Arial" w:hint="default"/>
      </w:rPr>
    </w:lvl>
    <w:lvl w:ilvl="8" w:tplc="5D4CB892" w:tentative="1">
      <w:start w:val="1"/>
      <w:numFmt w:val="bullet"/>
      <w:lvlText w:val="•"/>
      <w:lvlJc w:val="left"/>
      <w:pPr>
        <w:tabs>
          <w:tab w:val="num" w:pos="6480"/>
        </w:tabs>
        <w:ind w:left="6480" w:hanging="360"/>
      </w:pPr>
      <w:rPr>
        <w:rFonts w:ascii="Arial" w:hAnsi="Arial" w:hint="default"/>
      </w:rPr>
    </w:lvl>
  </w:abstractNum>
  <w:abstractNum w:abstractNumId="1">
    <w:nsid w:val="0FC658C0"/>
    <w:multiLevelType w:val="hybridMultilevel"/>
    <w:tmpl w:val="171E4C88"/>
    <w:lvl w:ilvl="0" w:tplc="79EE19FC">
      <w:start w:val="1"/>
      <w:numFmt w:val="bullet"/>
      <w:lvlText w:val="•"/>
      <w:lvlJc w:val="left"/>
      <w:pPr>
        <w:tabs>
          <w:tab w:val="num" w:pos="720"/>
        </w:tabs>
        <w:ind w:left="720" w:hanging="360"/>
      </w:pPr>
      <w:rPr>
        <w:rFonts w:ascii="Arial" w:hAnsi="Arial" w:hint="default"/>
      </w:rPr>
    </w:lvl>
    <w:lvl w:ilvl="1" w:tplc="57AAB0C2">
      <w:start w:val="2874"/>
      <w:numFmt w:val="bullet"/>
      <w:lvlText w:val="•"/>
      <w:lvlJc w:val="left"/>
      <w:pPr>
        <w:tabs>
          <w:tab w:val="num" w:pos="1440"/>
        </w:tabs>
        <w:ind w:left="1440" w:hanging="360"/>
      </w:pPr>
      <w:rPr>
        <w:rFonts w:ascii="Arial" w:hAnsi="Arial" w:hint="default"/>
      </w:rPr>
    </w:lvl>
    <w:lvl w:ilvl="2" w:tplc="7F069EE2" w:tentative="1">
      <w:start w:val="1"/>
      <w:numFmt w:val="bullet"/>
      <w:lvlText w:val="•"/>
      <w:lvlJc w:val="left"/>
      <w:pPr>
        <w:tabs>
          <w:tab w:val="num" w:pos="2160"/>
        </w:tabs>
        <w:ind w:left="2160" w:hanging="360"/>
      </w:pPr>
      <w:rPr>
        <w:rFonts w:ascii="Arial" w:hAnsi="Arial" w:hint="default"/>
      </w:rPr>
    </w:lvl>
    <w:lvl w:ilvl="3" w:tplc="AD04228A" w:tentative="1">
      <w:start w:val="1"/>
      <w:numFmt w:val="bullet"/>
      <w:lvlText w:val="•"/>
      <w:lvlJc w:val="left"/>
      <w:pPr>
        <w:tabs>
          <w:tab w:val="num" w:pos="2880"/>
        </w:tabs>
        <w:ind w:left="2880" w:hanging="360"/>
      </w:pPr>
      <w:rPr>
        <w:rFonts w:ascii="Arial" w:hAnsi="Arial" w:hint="default"/>
      </w:rPr>
    </w:lvl>
    <w:lvl w:ilvl="4" w:tplc="510C8C22" w:tentative="1">
      <w:start w:val="1"/>
      <w:numFmt w:val="bullet"/>
      <w:lvlText w:val="•"/>
      <w:lvlJc w:val="left"/>
      <w:pPr>
        <w:tabs>
          <w:tab w:val="num" w:pos="3600"/>
        </w:tabs>
        <w:ind w:left="3600" w:hanging="360"/>
      </w:pPr>
      <w:rPr>
        <w:rFonts w:ascii="Arial" w:hAnsi="Arial" w:hint="default"/>
      </w:rPr>
    </w:lvl>
    <w:lvl w:ilvl="5" w:tplc="659C6E74" w:tentative="1">
      <w:start w:val="1"/>
      <w:numFmt w:val="bullet"/>
      <w:lvlText w:val="•"/>
      <w:lvlJc w:val="left"/>
      <w:pPr>
        <w:tabs>
          <w:tab w:val="num" w:pos="4320"/>
        </w:tabs>
        <w:ind w:left="4320" w:hanging="360"/>
      </w:pPr>
      <w:rPr>
        <w:rFonts w:ascii="Arial" w:hAnsi="Arial" w:hint="default"/>
      </w:rPr>
    </w:lvl>
    <w:lvl w:ilvl="6" w:tplc="EE9A2CC8" w:tentative="1">
      <w:start w:val="1"/>
      <w:numFmt w:val="bullet"/>
      <w:lvlText w:val="•"/>
      <w:lvlJc w:val="left"/>
      <w:pPr>
        <w:tabs>
          <w:tab w:val="num" w:pos="5040"/>
        </w:tabs>
        <w:ind w:left="5040" w:hanging="360"/>
      </w:pPr>
      <w:rPr>
        <w:rFonts w:ascii="Arial" w:hAnsi="Arial" w:hint="default"/>
      </w:rPr>
    </w:lvl>
    <w:lvl w:ilvl="7" w:tplc="3D36BD48" w:tentative="1">
      <w:start w:val="1"/>
      <w:numFmt w:val="bullet"/>
      <w:lvlText w:val="•"/>
      <w:lvlJc w:val="left"/>
      <w:pPr>
        <w:tabs>
          <w:tab w:val="num" w:pos="5760"/>
        </w:tabs>
        <w:ind w:left="5760" w:hanging="360"/>
      </w:pPr>
      <w:rPr>
        <w:rFonts w:ascii="Arial" w:hAnsi="Arial" w:hint="default"/>
      </w:rPr>
    </w:lvl>
    <w:lvl w:ilvl="8" w:tplc="1A6044C8" w:tentative="1">
      <w:start w:val="1"/>
      <w:numFmt w:val="bullet"/>
      <w:lvlText w:val="•"/>
      <w:lvlJc w:val="left"/>
      <w:pPr>
        <w:tabs>
          <w:tab w:val="num" w:pos="6480"/>
        </w:tabs>
        <w:ind w:left="6480" w:hanging="360"/>
      </w:pPr>
      <w:rPr>
        <w:rFonts w:ascii="Arial" w:hAnsi="Arial" w:hint="default"/>
      </w:rPr>
    </w:lvl>
  </w:abstractNum>
  <w:abstractNum w:abstractNumId="2">
    <w:nsid w:val="11D26145"/>
    <w:multiLevelType w:val="hybridMultilevel"/>
    <w:tmpl w:val="DE34F14A"/>
    <w:lvl w:ilvl="0" w:tplc="57A8337A">
      <w:start w:val="1"/>
      <w:numFmt w:val="bullet"/>
      <w:lvlText w:val="•"/>
      <w:lvlJc w:val="left"/>
      <w:pPr>
        <w:tabs>
          <w:tab w:val="num" w:pos="720"/>
        </w:tabs>
        <w:ind w:left="720" w:hanging="360"/>
      </w:pPr>
      <w:rPr>
        <w:rFonts w:ascii="Arial" w:hAnsi="Arial" w:hint="default"/>
      </w:rPr>
    </w:lvl>
    <w:lvl w:ilvl="1" w:tplc="1CA0955C">
      <w:start w:val="2874"/>
      <w:numFmt w:val="bullet"/>
      <w:lvlText w:val="•"/>
      <w:lvlJc w:val="left"/>
      <w:pPr>
        <w:tabs>
          <w:tab w:val="num" w:pos="1440"/>
        </w:tabs>
        <w:ind w:left="1440" w:hanging="360"/>
      </w:pPr>
      <w:rPr>
        <w:rFonts w:ascii="Arial" w:hAnsi="Arial" w:hint="default"/>
      </w:rPr>
    </w:lvl>
    <w:lvl w:ilvl="2" w:tplc="93524CAA" w:tentative="1">
      <w:start w:val="1"/>
      <w:numFmt w:val="bullet"/>
      <w:lvlText w:val="•"/>
      <w:lvlJc w:val="left"/>
      <w:pPr>
        <w:tabs>
          <w:tab w:val="num" w:pos="2160"/>
        </w:tabs>
        <w:ind w:left="2160" w:hanging="360"/>
      </w:pPr>
      <w:rPr>
        <w:rFonts w:ascii="Arial" w:hAnsi="Arial" w:hint="default"/>
      </w:rPr>
    </w:lvl>
    <w:lvl w:ilvl="3" w:tplc="7F80E098" w:tentative="1">
      <w:start w:val="1"/>
      <w:numFmt w:val="bullet"/>
      <w:lvlText w:val="•"/>
      <w:lvlJc w:val="left"/>
      <w:pPr>
        <w:tabs>
          <w:tab w:val="num" w:pos="2880"/>
        </w:tabs>
        <w:ind w:left="2880" w:hanging="360"/>
      </w:pPr>
      <w:rPr>
        <w:rFonts w:ascii="Arial" w:hAnsi="Arial" w:hint="default"/>
      </w:rPr>
    </w:lvl>
    <w:lvl w:ilvl="4" w:tplc="DC6C9984" w:tentative="1">
      <w:start w:val="1"/>
      <w:numFmt w:val="bullet"/>
      <w:lvlText w:val="•"/>
      <w:lvlJc w:val="left"/>
      <w:pPr>
        <w:tabs>
          <w:tab w:val="num" w:pos="3600"/>
        </w:tabs>
        <w:ind w:left="3600" w:hanging="360"/>
      </w:pPr>
      <w:rPr>
        <w:rFonts w:ascii="Arial" w:hAnsi="Arial" w:hint="default"/>
      </w:rPr>
    </w:lvl>
    <w:lvl w:ilvl="5" w:tplc="FE2A391E" w:tentative="1">
      <w:start w:val="1"/>
      <w:numFmt w:val="bullet"/>
      <w:lvlText w:val="•"/>
      <w:lvlJc w:val="left"/>
      <w:pPr>
        <w:tabs>
          <w:tab w:val="num" w:pos="4320"/>
        </w:tabs>
        <w:ind w:left="4320" w:hanging="360"/>
      </w:pPr>
      <w:rPr>
        <w:rFonts w:ascii="Arial" w:hAnsi="Arial" w:hint="default"/>
      </w:rPr>
    </w:lvl>
    <w:lvl w:ilvl="6" w:tplc="AFA82C12" w:tentative="1">
      <w:start w:val="1"/>
      <w:numFmt w:val="bullet"/>
      <w:lvlText w:val="•"/>
      <w:lvlJc w:val="left"/>
      <w:pPr>
        <w:tabs>
          <w:tab w:val="num" w:pos="5040"/>
        </w:tabs>
        <w:ind w:left="5040" w:hanging="360"/>
      </w:pPr>
      <w:rPr>
        <w:rFonts w:ascii="Arial" w:hAnsi="Arial" w:hint="default"/>
      </w:rPr>
    </w:lvl>
    <w:lvl w:ilvl="7" w:tplc="0544499E" w:tentative="1">
      <w:start w:val="1"/>
      <w:numFmt w:val="bullet"/>
      <w:lvlText w:val="•"/>
      <w:lvlJc w:val="left"/>
      <w:pPr>
        <w:tabs>
          <w:tab w:val="num" w:pos="5760"/>
        </w:tabs>
        <w:ind w:left="5760" w:hanging="360"/>
      </w:pPr>
      <w:rPr>
        <w:rFonts w:ascii="Arial" w:hAnsi="Arial" w:hint="default"/>
      </w:rPr>
    </w:lvl>
    <w:lvl w:ilvl="8" w:tplc="C4FCAB4E" w:tentative="1">
      <w:start w:val="1"/>
      <w:numFmt w:val="bullet"/>
      <w:lvlText w:val="•"/>
      <w:lvlJc w:val="left"/>
      <w:pPr>
        <w:tabs>
          <w:tab w:val="num" w:pos="6480"/>
        </w:tabs>
        <w:ind w:left="6480" w:hanging="360"/>
      </w:pPr>
      <w:rPr>
        <w:rFonts w:ascii="Arial" w:hAnsi="Arial" w:hint="default"/>
      </w:rPr>
    </w:lvl>
  </w:abstractNum>
  <w:abstractNum w:abstractNumId="3">
    <w:nsid w:val="12C67AD2"/>
    <w:multiLevelType w:val="hybridMultilevel"/>
    <w:tmpl w:val="3208B1D8"/>
    <w:lvl w:ilvl="0" w:tplc="5C7804DA">
      <w:start w:val="1"/>
      <w:numFmt w:val="bullet"/>
      <w:lvlText w:val="•"/>
      <w:lvlJc w:val="left"/>
      <w:pPr>
        <w:tabs>
          <w:tab w:val="num" w:pos="720"/>
        </w:tabs>
        <w:ind w:left="720" w:hanging="360"/>
      </w:pPr>
      <w:rPr>
        <w:rFonts w:ascii="Arial" w:hAnsi="Arial" w:hint="default"/>
      </w:rPr>
    </w:lvl>
    <w:lvl w:ilvl="1" w:tplc="6B285338">
      <w:start w:val="4653"/>
      <w:numFmt w:val="bullet"/>
      <w:lvlText w:val="•"/>
      <w:lvlJc w:val="left"/>
      <w:pPr>
        <w:tabs>
          <w:tab w:val="num" w:pos="1440"/>
        </w:tabs>
        <w:ind w:left="1440" w:hanging="360"/>
      </w:pPr>
      <w:rPr>
        <w:rFonts w:ascii="Arial" w:hAnsi="Arial" w:hint="default"/>
      </w:rPr>
    </w:lvl>
    <w:lvl w:ilvl="2" w:tplc="1F3C878A">
      <w:start w:val="4653"/>
      <w:numFmt w:val="bullet"/>
      <w:lvlText w:val="•"/>
      <w:lvlJc w:val="left"/>
      <w:pPr>
        <w:tabs>
          <w:tab w:val="num" w:pos="2160"/>
        </w:tabs>
        <w:ind w:left="2160" w:hanging="360"/>
      </w:pPr>
      <w:rPr>
        <w:rFonts w:ascii="Arial" w:hAnsi="Arial" w:hint="default"/>
      </w:rPr>
    </w:lvl>
    <w:lvl w:ilvl="3" w:tplc="5BC2B1D4" w:tentative="1">
      <w:start w:val="1"/>
      <w:numFmt w:val="bullet"/>
      <w:lvlText w:val="•"/>
      <w:lvlJc w:val="left"/>
      <w:pPr>
        <w:tabs>
          <w:tab w:val="num" w:pos="2880"/>
        </w:tabs>
        <w:ind w:left="2880" w:hanging="360"/>
      </w:pPr>
      <w:rPr>
        <w:rFonts w:ascii="Arial" w:hAnsi="Arial" w:hint="default"/>
      </w:rPr>
    </w:lvl>
    <w:lvl w:ilvl="4" w:tplc="AA700052" w:tentative="1">
      <w:start w:val="1"/>
      <w:numFmt w:val="bullet"/>
      <w:lvlText w:val="•"/>
      <w:lvlJc w:val="left"/>
      <w:pPr>
        <w:tabs>
          <w:tab w:val="num" w:pos="3600"/>
        </w:tabs>
        <w:ind w:left="3600" w:hanging="360"/>
      </w:pPr>
      <w:rPr>
        <w:rFonts w:ascii="Arial" w:hAnsi="Arial" w:hint="default"/>
      </w:rPr>
    </w:lvl>
    <w:lvl w:ilvl="5" w:tplc="BBECE9E4" w:tentative="1">
      <w:start w:val="1"/>
      <w:numFmt w:val="bullet"/>
      <w:lvlText w:val="•"/>
      <w:lvlJc w:val="left"/>
      <w:pPr>
        <w:tabs>
          <w:tab w:val="num" w:pos="4320"/>
        </w:tabs>
        <w:ind w:left="4320" w:hanging="360"/>
      </w:pPr>
      <w:rPr>
        <w:rFonts w:ascii="Arial" w:hAnsi="Arial" w:hint="default"/>
      </w:rPr>
    </w:lvl>
    <w:lvl w:ilvl="6" w:tplc="8BEAF9F2" w:tentative="1">
      <w:start w:val="1"/>
      <w:numFmt w:val="bullet"/>
      <w:lvlText w:val="•"/>
      <w:lvlJc w:val="left"/>
      <w:pPr>
        <w:tabs>
          <w:tab w:val="num" w:pos="5040"/>
        </w:tabs>
        <w:ind w:left="5040" w:hanging="360"/>
      </w:pPr>
      <w:rPr>
        <w:rFonts w:ascii="Arial" w:hAnsi="Arial" w:hint="default"/>
      </w:rPr>
    </w:lvl>
    <w:lvl w:ilvl="7" w:tplc="58AE6834" w:tentative="1">
      <w:start w:val="1"/>
      <w:numFmt w:val="bullet"/>
      <w:lvlText w:val="•"/>
      <w:lvlJc w:val="left"/>
      <w:pPr>
        <w:tabs>
          <w:tab w:val="num" w:pos="5760"/>
        </w:tabs>
        <w:ind w:left="5760" w:hanging="360"/>
      </w:pPr>
      <w:rPr>
        <w:rFonts w:ascii="Arial" w:hAnsi="Arial" w:hint="default"/>
      </w:rPr>
    </w:lvl>
    <w:lvl w:ilvl="8" w:tplc="F15C0EF2" w:tentative="1">
      <w:start w:val="1"/>
      <w:numFmt w:val="bullet"/>
      <w:lvlText w:val="•"/>
      <w:lvlJc w:val="left"/>
      <w:pPr>
        <w:tabs>
          <w:tab w:val="num" w:pos="6480"/>
        </w:tabs>
        <w:ind w:left="6480" w:hanging="360"/>
      </w:pPr>
      <w:rPr>
        <w:rFonts w:ascii="Arial" w:hAnsi="Arial" w:hint="default"/>
      </w:rPr>
    </w:lvl>
  </w:abstractNum>
  <w:abstractNum w:abstractNumId="4">
    <w:nsid w:val="193C50DA"/>
    <w:multiLevelType w:val="hybridMultilevel"/>
    <w:tmpl w:val="0D2A641A"/>
    <w:lvl w:ilvl="0" w:tplc="9C40CED2">
      <w:start w:val="1"/>
      <w:numFmt w:val="bullet"/>
      <w:lvlText w:val="•"/>
      <w:lvlJc w:val="left"/>
      <w:pPr>
        <w:tabs>
          <w:tab w:val="num" w:pos="720"/>
        </w:tabs>
        <w:ind w:left="720" w:hanging="360"/>
      </w:pPr>
      <w:rPr>
        <w:rFonts w:ascii="Arial" w:hAnsi="Arial" w:hint="default"/>
      </w:rPr>
    </w:lvl>
    <w:lvl w:ilvl="1" w:tplc="04800608">
      <w:start w:val="4296"/>
      <w:numFmt w:val="bullet"/>
      <w:lvlText w:val="•"/>
      <w:lvlJc w:val="left"/>
      <w:pPr>
        <w:tabs>
          <w:tab w:val="num" w:pos="450"/>
        </w:tabs>
        <w:ind w:left="450" w:hanging="360"/>
      </w:pPr>
      <w:rPr>
        <w:rFonts w:ascii="Arial" w:hAnsi="Arial" w:hint="default"/>
      </w:rPr>
    </w:lvl>
    <w:lvl w:ilvl="2" w:tplc="C4A0AB18" w:tentative="1">
      <w:start w:val="1"/>
      <w:numFmt w:val="bullet"/>
      <w:lvlText w:val="•"/>
      <w:lvlJc w:val="left"/>
      <w:pPr>
        <w:tabs>
          <w:tab w:val="num" w:pos="2160"/>
        </w:tabs>
        <w:ind w:left="2160" w:hanging="360"/>
      </w:pPr>
      <w:rPr>
        <w:rFonts w:ascii="Arial" w:hAnsi="Arial" w:hint="default"/>
      </w:rPr>
    </w:lvl>
    <w:lvl w:ilvl="3" w:tplc="6C28941E" w:tentative="1">
      <w:start w:val="1"/>
      <w:numFmt w:val="bullet"/>
      <w:lvlText w:val="•"/>
      <w:lvlJc w:val="left"/>
      <w:pPr>
        <w:tabs>
          <w:tab w:val="num" w:pos="2880"/>
        </w:tabs>
        <w:ind w:left="2880" w:hanging="360"/>
      </w:pPr>
      <w:rPr>
        <w:rFonts w:ascii="Arial" w:hAnsi="Arial" w:hint="default"/>
      </w:rPr>
    </w:lvl>
    <w:lvl w:ilvl="4" w:tplc="C546A85A" w:tentative="1">
      <w:start w:val="1"/>
      <w:numFmt w:val="bullet"/>
      <w:lvlText w:val="•"/>
      <w:lvlJc w:val="left"/>
      <w:pPr>
        <w:tabs>
          <w:tab w:val="num" w:pos="3600"/>
        </w:tabs>
        <w:ind w:left="3600" w:hanging="360"/>
      </w:pPr>
      <w:rPr>
        <w:rFonts w:ascii="Arial" w:hAnsi="Arial" w:hint="default"/>
      </w:rPr>
    </w:lvl>
    <w:lvl w:ilvl="5" w:tplc="2BF4979E" w:tentative="1">
      <w:start w:val="1"/>
      <w:numFmt w:val="bullet"/>
      <w:lvlText w:val="•"/>
      <w:lvlJc w:val="left"/>
      <w:pPr>
        <w:tabs>
          <w:tab w:val="num" w:pos="4320"/>
        </w:tabs>
        <w:ind w:left="4320" w:hanging="360"/>
      </w:pPr>
      <w:rPr>
        <w:rFonts w:ascii="Arial" w:hAnsi="Arial" w:hint="default"/>
      </w:rPr>
    </w:lvl>
    <w:lvl w:ilvl="6" w:tplc="057000BA" w:tentative="1">
      <w:start w:val="1"/>
      <w:numFmt w:val="bullet"/>
      <w:lvlText w:val="•"/>
      <w:lvlJc w:val="left"/>
      <w:pPr>
        <w:tabs>
          <w:tab w:val="num" w:pos="5040"/>
        </w:tabs>
        <w:ind w:left="5040" w:hanging="360"/>
      </w:pPr>
      <w:rPr>
        <w:rFonts w:ascii="Arial" w:hAnsi="Arial" w:hint="default"/>
      </w:rPr>
    </w:lvl>
    <w:lvl w:ilvl="7" w:tplc="606EB264" w:tentative="1">
      <w:start w:val="1"/>
      <w:numFmt w:val="bullet"/>
      <w:lvlText w:val="•"/>
      <w:lvlJc w:val="left"/>
      <w:pPr>
        <w:tabs>
          <w:tab w:val="num" w:pos="5760"/>
        </w:tabs>
        <w:ind w:left="5760" w:hanging="360"/>
      </w:pPr>
      <w:rPr>
        <w:rFonts w:ascii="Arial" w:hAnsi="Arial" w:hint="default"/>
      </w:rPr>
    </w:lvl>
    <w:lvl w:ilvl="8" w:tplc="36AA83A0" w:tentative="1">
      <w:start w:val="1"/>
      <w:numFmt w:val="bullet"/>
      <w:lvlText w:val="•"/>
      <w:lvlJc w:val="left"/>
      <w:pPr>
        <w:tabs>
          <w:tab w:val="num" w:pos="6480"/>
        </w:tabs>
        <w:ind w:left="6480" w:hanging="360"/>
      </w:pPr>
      <w:rPr>
        <w:rFonts w:ascii="Arial" w:hAnsi="Arial" w:hint="default"/>
      </w:rPr>
    </w:lvl>
  </w:abstractNum>
  <w:abstractNum w:abstractNumId="5">
    <w:nsid w:val="1B5B2C33"/>
    <w:multiLevelType w:val="hybridMultilevel"/>
    <w:tmpl w:val="B3EE2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3128D9"/>
    <w:multiLevelType w:val="multilevel"/>
    <w:tmpl w:val="6CBE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D659E7"/>
    <w:multiLevelType w:val="hybridMultilevel"/>
    <w:tmpl w:val="6C847144"/>
    <w:lvl w:ilvl="0" w:tplc="96B887A6">
      <w:start w:val="1"/>
      <w:numFmt w:val="bullet"/>
      <w:lvlText w:val="•"/>
      <w:lvlJc w:val="left"/>
      <w:pPr>
        <w:tabs>
          <w:tab w:val="num" w:pos="720"/>
        </w:tabs>
        <w:ind w:left="720" w:hanging="360"/>
      </w:pPr>
      <w:rPr>
        <w:rFonts w:ascii="Arial" w:hAnsi="Arial" w:hint="default"/>
      </w:rPr>
    </w:lvl>
    <w:lvl w:ilvl="1" w:tplc="8F6EE3EE">
      <w:start w:val="2816"/>
      <w:numFmt w:val="bullet"/>
      <w:lvlText w:val="•"/>
      <w:lvlJc w:val="left"/>
      <w:pPr>
        <w:tabs>
          <w:tab w:val="num" w:pos="1440"/>
        </w:tabs>
        <w:ind w:left="1440" w:hanging="360"/>
      </w:pPr>
      <w:rPr>
        <w:rFonts w:ascii="Arial" w:hAnsi="Arial" w:hint="default"/>
      </w:rPr>
    </w:lvl>
    <w:lvl w:ilvl="2" w:tplc="CB225E4A">
      <w:start w:val="2816"/>
      <w:numFmt w:val="bullet"/>
      <w:lvlText w:val="•"/>
      <w:lvlJc w:val="left"/>
      <w:pPr>
        <w:tabs>
          <w:tab w:val="num" w:pos="2160"/>
        </w:tabs>
        <w:ind w:left="2160" w:hanging="360"/>
      </w:pPr>
      <w:rPr>
        <w:rFonts w:ascii="Arial" w:hAnsi="Arial" w:hint="default"/>
      </w:rPr>
    </w:lvl>
    <w:lvl w:ilvl="3" w:tplc="915CEA5A" w:tentative="1">
      <w:start w:val="1"/>
      <w:numFmt w:val="bullet"/>
      <w:lvlText w:val="•"/>
      <w:lvlJc w:val="left"/>
      <w:pPr>
        <w:tabs>
          <w:tab w:val="num" w:pos="2880"/>
        </w:tabs>
        <w:ind w:left="2880" w:hanging="360"/>
      </w:pPr>
      <w:rPr>
        <w:rFonts w:ascii="Arial" w:hAnsi="Arial" w:hint="default"/>
      </w:rPr>
    </w:lvl>
    <w:lvl w:ilvl="4" w:tplc="FBEC0E78" w:tentative="1">
      <w:start w:val="1"/>
      <w:numFmt w:val="bullet"/>
      <w:lvlText w:val="•"/>
      <w:lvlJc w:val="left"/>
      <w:pPr>
        <w:tabs>
          <w:tab w:val="num" w:pos="3600"/>
        </w:tabs>
        <w:ind w:left="3600" w:hanging="360"/>
      </w:pPr>
      <w:rPr>
        <w:rFonts w:ascii="Arial" w:hAnsi="Arial" w:hint="default"/>
      </w:rPr>
    </w:lvl>
    <w:lvl w:ilvl="5" w:tplc="73D04FCA" w:tentative="1">
      <w:start w:val="1"/>
      <w:numFmt w:val="bullet"/>
      <w:lvlText w:val="•"/>
      <w:lvlJc w:val="left"/>
      <w:pPr>
        <w:tabs>
          <w:tab w:val="num" w:pos="4320"/>
        </w:tabs>
        <w:ind w:left="4320" w:hanging="360"/>
      </w:pPr>
      <w:rPr>
        <w:rFonts w:ascii="Arial" w:hAnsi="Arial" w:hint="default"/>
      </w:rPr>
    </w:lvl>
    <w:lvl w:ilvl="6" w:tplc="6ADE3D92" w:tentative="1">
      <w:start w:val="1"/>
      <w:numFmt w:val="bullet"/>
      <w:lvlText w:val="•"/>
      <w:lvlJc w:val="left"/>
      <w:pPr>
        <w:tabs>
          <w:tab w:val="num" w:pos="5040"/>
        </w:tabs>
        <w:ind w:left="5040" w:hanging="360"/>
      </w:pPr>
      <w:rPr>
        <w:rFonts w:ascii="Arial" w:hAnsi="Arial" w:hint="default"/>
      </w:rPr>
    </w:lvl>
    <w:lvl w:ilvl="7" w:tplc="61A8BEDE" w:tentative="1">
      <w:start w:val="1"/>
      <w:numFmt w:val="bullet"/>
      <w:lvlText w:val="•"/>
      <w:lvlJc w:val="left"/>
      <w:pPr>
        <w:tabs>
          <w:tab w:val="num" w:pos="5760"/>
        </w:tabs>
        <w:ind w:left="5760" w:hanging="360"/>
      </w:pPr>
      <w:rPr>
        <w:rFonts w:ascii="Arial" w:hAnsi="Arial" w:hint="default"/>
      </w:rPr>
    </w:lvl>
    <w:lvl w:ilvl="8" w:tplc="FF701A6A" w:tentative="1">
      <w:start w:val="1"/>
      <w:numFmt w:val="bullet"/>
      <w:lvlText w:val="•"/>
      <w:lvlJc w:val="left"/>
      <w:pPr>
        <w:tabs>
          <w:tab w:val="num" w:pos="6480"/>
        </w:tabs>
        <w:ind w:left="6480" w:hanging="360"/>
      </w:pPr>
      <w:rPr>
        <w:rFonts w:ascii="Arial" w:hAnsi="Arial" w:hint="default"/>
      </w:rPr>
    </w:lvl>
  </w:abstractNum>
  <w:abstractNum w:abstractNumId="8">
    <w:nsid w:val="305F764C"/>
    <w:multiLevelType w:val="multilevel"/>
    <w:tmpl w:val="30D6D3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4C1F07"/>
    <w:multiLevelType w:val="multilevel"/>
    <w:tmpl w:val="F93277A0"/>
    <w:lvl w:ilvl="0">
      <w:start w:val="1"/>
      <w:numFmt w:val="bullet"/>
      <w:lvlText w:val="●"/>
      <w:lvlJc w:val="left"/>
      <w:pPr>
        <w:ind w:left="720" w:hanging="360"/>
      </w:pPr>
      <w:rPr>
        <w:rFonts w:ascii="Arial" w:eastAsia="Arial" w:hAnsi="Arial" w:cs="Arial"/>
        <w:b w:val="0"/>
        <w:i w:val="0"/>
        <w:smallCaps w:val="0"/>
        <w:strike w:val="0"/>
        <w:color w:val="000000"/>
        <w:sz w:val="20"/>
        <w:szCs w:val="20"/>
        <w:highlight w:val="white"/>
        <w:u w:val="none"/>
        <w:vertAlign w:val="baseline"/>
      </w:rPr>
    </w:lvl>
    <w:lvl w:ilvl="1">
      <w:start w:val="1"/>
      <w:numFmt w:val="bullet"/>
      <w:lvlText w:val="○"/>
      <w:lvlJc w:val="left"/>
      <w:pPr>
        <w:ind w:left="360" w:hanging="360"/>
      </w:pPr>
      <w:rPr>
        <w:rFonts w:ascii="Arial" w:eastAsia="Arial" w:hAnsi="Arial" w:cs="Arial"/>
        <w:b w:val="0"/>
        <w:i w:val="0"/>
        <w:smallCaps w:val="0"/>
        <w:strike w:val="0"/>
        <w:color w:val="000000"/>
        <w:sz w:val="20"/>
        <w:szCs w:val="20"/>
        <w:highlight w:val="white"/>
        <w:u w:val="none"/>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0"/>
        <w:szCs w:val="20"/>
        <w:highlight w:val="white"/>
        <w:u w:val="none"/>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0"/>
        <w:szCs w:val="20"/>
        <w:highlight w:val="white"/>
        <w:u w:val="none"/>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0"/>
        <w:szCs w:val="20"/>
        <w:highlight w:val="white"/>
        <w:u w:val="none"/>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0"/>
        <w:szCs w:val="20"/>
        <w:highlight w:val="white"/>
        <w:u w:val="none"/>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0"/>
        <w:szCs w:val="20"/>
        <w:highlight w:val="white"/>
        <w:u w:val="none"/>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0"/>
        <w:szCs w:val="20"/>
        <w:highlight w:val="white"/>
        <w:u w:val="none"/>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0"/>
        <w:szCs w:val="20"/>
        <w:highlight w:val="white"/>
        <w:u w:val="none"/>
        <w:vertAlign w:val="baseline"/>
      </w:rPr>
    </w:lvl>
  </w:abstractNum>
  <w:abstractNum w:abstractNumId="10">
    <w:nsid w:val="46514DCC"/>
    <w:multiLevelType w:val="hybridMultilevel"/>
    <w:tmpl w:val="B24EE32C"/>
    <w:lvl w:ilvl="0" w:tplc="CA165D58">
      <w:start w:val="1"/>
      <w:numFmt w:val="bullet"/>
      <w:lvlText w:val="•"/>
      <w:lvlJc w:val="left"/>
      <w:pPr>
        <w:tabs>
          <w:tab w:val="num" w:pos="720"/>
        </w:tabs>
        <w:ind w:left="720" w:hanging="360"/>
      </w:pPr>
      <w:rPr>
        <w:rFonts w:ascii="Arial" w:hAnsi="Arial" w:hint="default"/>
      </w:rPr>
    </w:lvl>
    <w:lvl w:ilvl="1" w:tplc="4EFC71FC">
      <w:start w:val="2874"/>
      <w:numFmt w:val="bullet"/>
      <w:lvlText w:val="•"/>
      <w:lvlJc w:val="left"/>
      <w:pPr>
        <w:tabs>
          <w:tab w:val="num" w:pos="1440"/>
        </w:tabs>
        <w:ind w:left="1440" w:hanging="360"/>
      </w:pPr>
      <w:rPr>
        <w:rFonts w:ascii="Arial" w:hAnsi="Arial" w:hint="default"/>
      </w:rPr>
    </w:lvl>
    <w:lvl w:ilvl="2" w:tplc="4212F7DC" w:tentative="1">
      <w:start w:val="1"/>
      <w:numFmt w:val="bullet"/>
      <w:lvlText w:val="•"/>
      <w:lvlJc w:val="left"/>
      <w:pPr>
        <w:tabs>
          <w:tab w:val="num" w:pos="2160"/>
        </w:tabs>
        <w:ind w:left="2160" w:hanging="360"/>
      </w:pPr>
      <w:rPr>
        <w:rFonts w:ascii="Arial" w:hAnsi="Arial" w:hint="default"/>
      </w:rPr>
    </w:lvl>
    <w:lvl w:ilvl="3" w:tplc="6302A534" w:tentative="1">
      <w:start w:val="1"/>
      <w:numFmt w:val="bullet"/>
      <w:lvlText w:val="•"/>
      <w:lvlJc w:val="left"/>
      <w:pPr>
        <w:tabs>
          <w:tab w:val="num" w:pos="2880"/>
        </w:tabs>
        <w:ind w:left="2880" w:hanging="360"/>
      </w:pPr>
      <w:rPr>
        <w:rFonts w:ascii="Arial" w:hAnsi="Arial" w:hint="default"/>
      </w:rPr>
    </w:lvl>
    <w:lvl w:ilvl="4" w:tplc="442C9830" w:tentative="1">
      <w:start w:val="1"/>
      <w:numFmt w:val="bullet"/>
      <w:lvlText w:val="•"/>
      <w:lvlJc w:val="left"/>
      <w:pPr>
        <w:tabs>
          <w:tab w:val="num" w:pos="3600"/>
        </w:tabs>
        <w:ind w:left="3600" w:hanging="360"/>
      </w:pPr>
      <w:rPr>
        <w:rFonts w:ascii="Arial" w:hAnsi="Arial" w:hint="default"/>
      </w:rPr>
    </w:lvl>
    <w:lvl w:ilvl="5" w:tplc="FF1C87B6" w:tentative="1">
      <w:start w:val="1"/>
      <w:numFmt w:val="bullet"/>
      <w:lvlText w:val="•"/>
      <w:lvlJc w:val="left"/>
      <w:pPr>
        <w:tabs>
          <w:tab w:val="num" w:pos="4320"/>
        </w:tabs>
        <w:ind w:left="4320" w:hanging="360"/>
      </w:pPr>
      <w:rPr>
        <w:rFonts w:ascii="Arial" w:hAnsi="Arial" w:hint="default"/>
      </w:rPr>
    </w:lvl>
    <w:lvl w:ilvl="6" w:tplc="EDD8190E" w:tentative="1">
      <w:start w:val="1"/>
      <w:numFmt w:val="bullet"/>
      <w:lvlText w:val="•"/>
      <w:lvlJc w:val="left"/>
      <w:pPr>
        <w:tabs>
          <w:tab w:val="num" w:pos="5040"/>
        </w:tabs>
        <w:ind w:left="5040" w:hanging="360"/>
      </w:pPr>
      <w:rPr>
        <w:rFonts w:ascii="Arial" w:hAnsi="Arial" w:hint="default"/>
      </w:rPr>
    </w:lvl>
    <w:lvl w:ilvl="7" w:tplc="9F4A5628" w:tentative="1">
      <w:start w:val="1"/>
      <w:numFmt w:val="bullet"/>
      <w:lvlText w:val="•"/>
      <w:lvlJc w:val="left"/>
      <w:pPr>
        <w:tabs>
          <w:tab w:val="num" w:pos="5760"/>
        </w:tabs>
        <w:ind w:left="5760" w:hanging="360"/>
      </w:pPr>
      <w:rPr>
        <w:rFonts w:ascii="Arial" w:hAnsi="Arial" w:hint="default"/>
      </w:rPr>
    </w:lvl>
    <w:lvl w:ilvl="8" w:tplc="B61E12A8" w:tentative="1">
      <w:start w:val="1"/>
      <w:numFmt w:val="bullet"/>
      <w:lvlText w:val="•"/>
      <w:lvlJc w:val="left"/>
      <w:pPr>
        <w:tabs>
          <w:tab w:val="num" w:pos="6480"/>
        </w:tabs>
        <w:ind w:left="6480" w:hanging="360"/>
      </w:pPr>
      <w:rPr>
        <w:rFonts w:ascii="Arial" w:hAnsi="Arial" w:hint="default"/>
      </w:rPr>
    </w:lvl>
  </w:abstractNum>
  <w:abstractNum w:abstractNumId="11">
    <w:nsid w:val="4A962DBB"/>
    <w:multiLevelType w:val="multilevel"/>
    <w:tmpl w:val="21345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CB21A5D"/>
    <w:multiLevelType w:val="hybridMultilevel"/>
    <w:tmpl w:val="2D4AEB30"/>
    <w:lvl w:ilvl="0" w:tplc="4580B04E">
      <w:start w:val="1"/>
      <w:numFmt w:val="bullet"/>
      <w:lvlText w:val="•"/>
      <w:lvlJc w:val="left"/>
      <w:pPr>
        <w:tabs>
          <w:tab w:val="num" w:pos="720"/>
        </w:tabs>
        <w:ind w:left="720" w:hanging="360"/>
      </w:pPr>
      <w:rPr>
        <w:rFonts w:ascii="Arial" w:hAnsi="Arial" w:hint="default"/>
      </w:rPr>
    </w:lvl>
    <w:lvl w:ilvl="1" w:tplc="2E18D276">
      <w:start w:val="2874"/>
      <w:numFmt w:val="bullet"/>
      <w:lvlText w:val="•"/>
      <w:lvlJc w:val="left"/>
      <w:pPr>
        <w:tabs>
          <w:tab w:val="num" w:pos="1440"/>
        </w:tabs>
        <w:ind w:left="1440" w:hanging="360"/>
      </w:pPr>
      <w:rPr>
        <w:rFonts w:ascii="Arial" w:hAnsi="Arial" w:hint="default"/>
      </w:rPr>
    </w:lvl>
    <w:lvl w:ilvl="2" w:tplc="94863FA2" w:tentative="1">
      <w:start w:val="1"/>
      <w:numFmt w:val="bullet"/>
      <w:lvlText w:val="•"/>
      <w:lvlJc w:val="left"/>
      <w:pPr>
        <w:tabs>
          <w:tab w:val="num" w:pos="2160"/>
        </w:tabs>
        <w:ind w:left="2160" w:hanging="360"/>
      </w:pPr>
      <w:rPr>
        <w:rFonts w:ascii="Arial" w:hAnsi="Arial" w:hint="default"/>
      </w:rPr>
    </w:lvl>
    <w:lvl w:ilvl="3" w:tplc="BA26C1A4" w:tentative="1">
      <w:start w:val="1"/>
      <w:numFmt w:val="bullet"/>
      <w:lvlText w:val="•"/>
      <w:lvlJc w:val="left"/>
      <w:pPr>
        <w:tabs>
          <w:tab w:val="num" w:pos="2880"/>
        </w:tabs>
        <w:ind w:left="2880" w:hanging="360"/>
      </w:pPr>
      <w:rPr>
        <w:rFonts w:ascii="Arial" w:hAnsi="Arial" w:hint="default"/>
      </w:rPr>
    </w:lvl>
    <w:lvl w:ilvl="4" w:tplc="3406293E" w:tentative="1">
      <w:start w:val="1"/>
      <w:numFmt w:val="bullet"/>
      <w:lvlText w:val="•"/>
      <w:lvlJc w:val="left"/>
      <w:pPr>
        <w:tabs>
          <w:tab w:val="num" w:pos="3600"/>
        </w:tabs>
        <w:ind w:left="3600" w:hanging="360"/>
      </w:pPr>
      <w:rPr>
        <w:rFonts w:ascii="Arial" w:hAnsi="Arial" w:hint="default"/>
      </w:rPr>
    </w:lvl>
    <w:lvl w:ilvl="5" w:tplc="9C4CB7F8" w:tentative="1">
      <w:start w:val="1"/>
      <w:numFmt w:val="bullet"/>
      <w:lvlText w:val="•"/>
      <w:lvlJc w:val="left"/>
      <w:pPr>
        <w:tabs>
          <w:tab w:val="num" w:pos="4320"/>
        </w:tabs>
        <w:ind w:left="4320" w:hanging="360"/>
      </w:pPr>
      <w:rPr>
        <w:rFonts w:ascii="Arial" w:hAnsi="Arial" w:hint="default"/>
      </w:rPr>
    </w:lvl>
    <w:lvl w:ilvl="6" w:tplc="59F2350C" w:tentative="1">
      <w:start w:val="1"/>
      <w:numFmt w:val="bullet"/>
      <w:lvlText w:val="•"/>
      <w:lvlJc w:val="left"/>
      <w:pPr>
        <w:tabs>
          <w:tab w:val="num" w:pos="5040"/>
        </w:tabs>
        <w:ind w:left="5040" w:hanging="360"/>
      </w:pPr>
      <w:rPr>
        <w:rFonts w:ascii="Arial" w:hAnsi="Arial" w:hint="default"/>
      </w:rPr>
    </w:lvl>
    <w:lvl w:ilvl="7" w:tplc="74E86B3A" w:tentative="1">
      <w:start w:val="1"/>
      <w:numFmt w:val="bullet"/>
      <w:lvlText w:val="•"/>
      <w:lvlJc w:val="left"/>
      <w:pPr>
        <w:tabs>
          <w:tab w:val="num" w:pos="5760"/>
        </w:tabs>
        <w:ind w:left="5760" w:hanging="360"/>
      </w:pPr>
      <w:rPr>
        <w:rFonts w:ascii="Arial" w:hAnsi="Arial" w:hint="default"/>
      </w:rPr>
    </w:lvl>
    <w:lvl w:ilvl="8" w:tplc="FAB4648A" w:tentative="1">
      <w:start w:val="1"/>
      <w:numFmt w:val="bullet"/>
      <w:lvlText w:val="•"/>
      <w:lvlJc w:val="left"/>
      <w:pPr>
        <w:tabs>
          <w:tab w:val="num" w:pos="6480"/>
        </w:tabs>
        <w:ind w:left="6480" w:hanging="360"/>
      </w:pPr>
      <w:rPr>
        <w:rFonts w:ascii="Arial" w:hAnsi="Arial" w:hint="default"/>
      </w:rPr>
    </w:lvl>
  </w:abstractNum>
  <w:abstractNum w:abstractNumId="13">
    <w:nsid w:val="54EB710A"/>
    <w:multiLevelType w:val="hybridMultilevel"/>
    <w:tmpl w:val="BD3C566E"/>
    <w:lvl w:ilvl="0" w:tplc="264EF288">
      <w:start w:val="1"/>
      <w:numFmt w:val="bullet"/>
      <w:lvlText w:val="•"/>
      <w:lvlJc w:val="left"/>
      <w:pPr>
        <w:tabs>
          <w:tab w:val="num" w:pos="720"/>
        </w:tabs>
        <w:ind w:left="720" w:hanging="360"/>
      </w:pPr>
      <w:rPr>
        <w:rFonts w:ascii="Arial" w:hAnsi="Arial" w:hint="default"/>
      </w:rPr>
    </w:lvl>
    <w:lvl w:ilvl="1" w:tplc="E1D2B6FC">
      <w:start w:val="2824"/>
      <w:numFmt w:val="bullet"/>
      <w:lvlText w:val="•"/>
      <w:lvlJc w:val="left"/>
      <w:pPr>
        <w:tabs>
          <w:tab w:val="num" w:pos="1440"/>
        </w:tabs>
        <w:ind w:left="1440" w:hanging="360"/>
      </w:pPr>
      <w:rPr>
        <w:rFonts w:ascii="Arial" w:hAnsi="Arial" w:hint="default"/>
      </w:rPr>
    </w:lvl>
    <w:lvl w:ilvl="2" w:tplc="75026632" w:tentative="1">
      <w:start w:val="1"/>
      <w:numFmt w:val="bullet"/>
      <w:lvlText w:val="•"/>
      <w:lvlJc w:val="left"/>
      <w:pPr>
        <w:tabs>
          <w:tab w:val="num" w:pos="2160"/>
        </w:tabs>
        <w:ind w:left="2160" w:hanging="360"/>
      </w:pPr>
      <w:rPr>
        <w:rFonts w:ascii="Arial" w:hAnsi="Arial" w:hint="default"/>
      </w:rPr>
    </w:lvl>
    <w:lvl w:ilvl="3" w:tplc="FC40ED20" w:tentative="1">
      <w:start w:val="1"/>
      <w:numFmt w:val="bullet"/>
      <w:lvlText w:val="•"/>
      <w:lvlJc w:val="left"/>
      <w:pPr>
        <w:tabs>
          <w:tab w:val="num" w:pos="2880"/>
        </w:tabs>
        <w:ind w:left="2880" w:hanging="360"/>
      </w:pPr>
      <w:rPr>
        <w:rFonts w:ascii="Arial" w:hAnsi="Arial" w:hint="default"/>
      </w:rPr>
    </w:lvl>
    <w:lvl w:ilvl="4" w:tplc="9D3ECADC" w:tentative="1">
      <w:start w:val="1"/>
      <w:numFmt w:val="bullet"/>
      <w:lvlText w:val="•"/>
      <w:lvlJc w:val="left"/>
      <w:pPr>
        <w:tabs>
          <w:tab w:val="num" w:pos="3600"/>
        </w:tabs>
        <w:ind w:left="3600" w:hanging="360"/>
      </w:pPr>
      <w:rPr>
        <w:rFonts w:ascii="Arial" w:hAnsi="Arial" w:hint="default"/>
      </w:rPr>
    </w:lvl>
    <w:lvl w:ilvl="5" w:tplc="E99CB1A6" w:tentative="1">
      <w:start w:val="1"/>
      <w:numFmt w:val="bullet"/>
      <w:lvlText w:val="•"/>
      <w:lvlJc w:val="left"/>
      <w:pPr>
        <w:tabs>
          <w:tab w:val="num" w:pos="4320"/>
        </w:tabs>
        <w:ind w:left="4320" w:hanging="360"/>
      </w:pPr>
      <w:rPr>
        <w:rFonts w:ascii="Arial" w:hAnsi="Arial" w:hint="default"/>
      </w:rPr>
    </w:lvl>
    <w:lvl w:ilvl="6" w:tplc="DDFA7F20" w:tentative="1">
      <w:start w:val="1"/>
      <w:numFmt w:val="bullet"/>
      <w:lvlText w:val="•"/>
      <w:lvlJc w:val="left"/>
      <w:pPr>
        <w:tabs>
          <w:tab w:val="num" w:pos="5040"/>
        </w:tabs>
        <w:ind w:left="5040" w:hanging="360"/>
      </w:pPr>
      <w:rPr>
        <w:rFonts w:ascii="Arial" w:hAnsi="Arial" w:hint="default"/>
      </w:rPr>
    </w:lvl>
    <w:lvl w:ilvl="7" w:tplc="5582B5AA" w:tentative="1">
      <w:start w:val="1"/>
      <w:numFmt w:val="bullet"/>
      <w:lvlText w:val="•"/>
      <w:lvlJc w:val="left"/>
      <w:pPr>
        <w:tabs>
          <w:tab w:val="num" w:pos="5760"/>
        </w:tabs>
        <w:ind w:left="5760" w:hanging="360"/>
      </w:pPr>
      <w:rPr>
        <w:rFonts w:ascii="Arial" w:hAnsi="Arial" w:hint="default"/>
      </w:rPr>
    </w:lvl>
    <w:lvl w:ilvl="8" w:tplc="F38274C2" w:tentative="1">
      <w:start w:val="1"/>
      <w:numFmt w:val="bullet"/>
      <w:lvlText w:val="•"/>
      <w:lvlJc w:val="left"/>
      <w:pPr>
        <w:tabs>
          <w:tab w:val="num" w:pos="6480"/>
        </w:tabs>
        <w:ind w:left="6480" w:hanging="360"/>
      </w:pPr>
      <w:rPr>
        <w:rFonts w:ascii="Arial" w:hAnsi="Arial" w:hint="default"/>
      </w:rPr>
    </w:lvl>
  </w:abstractNum>
  <w:abstractNum w:abstractNumId="14">
    <w:nsid w:val="611077F7"/>
    <w:multiLevelType w:val="hybridMultilevel"/>
    <w:tmpl w:val="088AE8C2"/>
    <w:lvl w:ilvl="0" w:tplc="090E978A">
      <w:start w:val="1"/>
      <w:numFmt w:val="bullet"/>
      <w:lvlText w:val="•"/>
      <w:lvlJc w:val="left"/>
      <w:pPr>
        <w:tabs>
          <w:tab w:val="num" w:pos="720"/>
        </w:tabs>
        <w:ind w:left="720" w:hanging="360"/>
      </w:pPr>
      <w:rPr>
        <w:rFonts w:ascii="Arial" w:hAnsi="Arial" w:hint="default"/>
      </w:rPr>
    </w:lvl>
    <w:lvl w:ilvl="1" w:tplc="25EE6C76">
      <w:start w:val="2824"/>
      <w:numFmt w:val="bullet"/>
      <w:lvlText w:val="•"/>
      <w:lvlJc w:val="left"/>
      <w:pPr>
        <w:tabs>
          <w:tab w:val="num" w:pos="1440"/>
        </w:tabs>
        <w:ind w:left="1440" w:hanging="360"/>
      </w:pPr>
      <w:rPr>
        <w:rFonts w:ascii="Arial" w:hAnsi="Arial" w:hint="default"/>
      </w:rPr>
    </w:lvl>
    <w:lvl w:ilvl="2" w:tplc="67E0658E">
      <w:start w:val="2824"/>
      <w:numFmt w:val="bullet"/>
      <w:lvlText w:val="•"/>
      <w:lvlJc w:val="left"/>
      <w:pPr>
        <w:tabs>
          <w:tab w:val="num" w:pos="2160"/>
        </w:tabs>
        <w:ind w:left="2160" w:hanging="360"/>
      </w:pPr>
      <w:rPr>
        <w:rFonts w:ascii="Arial" w:hAnsi="Arial" w:hint="default"/>
      </w:rPr>
    </w:lvl>
    <w:lvl w:ilvl="3" w:tplc="8B26B1BC" w:tentative="1">
      <w:start w:val="1"/>
      <w:numFmt w:val="bullet"/>
      <w:lvlText w:val="•"/>
      <w:lvlJc w:val="left"/>
      <w:pPr>
        <w:tabs>
          <w:tab w:val="num" w:pos="2880"/>
        </w:tabs>
        <w:ind w:left="2880" w:hanging="360"/>
      </w:pPr>
      <w:rPr>
        <w:rFonts w:ascii="Arial" w:hAnsi="Arial" w:hint="default"/>
      </w:rPr>
    </w:lvl>
    <w:lvl w:ilvl="4" w:tplc="1ACC561C" w:tentative="1">
      <w:start w:val="1"/>
      <w:numFmt w:val="bullet"/>
      <w:lvlText w:val="•"/>
      <w:lvlJc w:val="left"/>
      <w:pPr>
        <w:tabs>
          <w:tab w:val="num" w:pos="3600"/>
        </w:tabs>
        <w:ind w:left="3600" w:hanging="360"/>
      </w:pPr>
      <w:rPr>
        <w:rFonts w:ascii="Arial" w:hAnsi="Arial" w:hint="default"/>
      </w:rPr>
    </w:lvl>
    <w:lvl w:ilvl="5" w:tplc="FADA3440" w:tentative="1">
      <w:start w:val="1"/>
      <w:numFmt w:val="bullet"/>
      <w:lvlText w:val="•"/>
      <w:lvlJc w:val="left"/>
      <w:pPr>
        <w:tabs>
          <w:tab w:val="num" w:pos="4320"/>
        </w:tabs>
        <w:ind w:left="4320" w:hanging="360"/>
      </w:pPr>
      <w:rPr>
        <w:rFonts w:ascii="Arial" w:hAnsi="Arial" w:hint="default"/>
      </w:rPr>
    </w:lvl>
    <w:lvl w:ilvl="6" w:tplc="C1962B20" w:tentative="1">
      <w:start w:val="1"/>
      <w:numFmt w:val="bullet"/>
      <w:lvlText w:val="•"/>
      <w:lvlJc w:val="left"/>
      <w:pPr>
        <w:tabs>
          <w:tab w:val="num" w:pos="5040"/>
        </w:tabs>
        <w:ind w:left="5040" w:hanging="360"/>
      </w:pPr>
      <w:rPr>
        <w:rFonts w:ascii="Arial" w:hAnsi="Arial" w:hint="default"/>
      </w:rPr>
    </w:lvl>
    <w:lvl w:ilvl="7" w:tplc="D1DC7C30" w:tentative="1">
      <w:start w:val="1"/>
      <w:numFmt w:val="bullet"/>
      <w:lvlText w:val="•"/>
      <w:lvlJc w:val="left"/>
      <w:pPr>
        <w:tabs>
          <w:tab w:val="num" w:pos="5760"/>
        </w:tabs>
        <w:ind w:left="5760" w:hanging="360"/>
      </w:pPr>
      <w:rPr>
        <w:rFonts w:ascii="Arial" w:hAnsi="Arial" w:hint="default"/>
      </w:rPr>
    </w:lvl>
    <w:lvl w:ilvl="8" w:tplc="CB2E51AE"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11"/>
  </w:num>
  <w:num w:numId="3">
    <w:abstractNumId w:val="6"/>
  </w:num>
  <w:num w:numId="4">
    <w:abstractNumId w:val="9"/>
  </w:num>
  <w:num w:numId="5">
    <w:abstractNumId w:val="5"/>
  </w:num>
  <w:num w:numId="6">
    <w:abstractNumId w:val="3"/>
  </w:num>
  <w:num w:numId="7">
    <w:abstractNumId w:val="4"/>
  </w:num>
  <w:num w:numId="8">
    <w:abstractNumId w:val="2"/>
  </w:num>
  <w:num w:numId="9">
    <w:abstractNumId w:val="10"/>
  </w:num>
  <w:num w:numId="10">
    <w:abstractNumId w:val="1"/>
  </w:num>
  <w:num w:numId="11">
    <w:abstractNumId w:val="7"/>
  </w:num>
  <w:num w:numId="12">
    <w:abstractNumId w:val="14"/>
  </w:num>
  <w:num w:numId="13">
    <w:abstractNumId w:val="0"/>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BEB"/>
    <w:rsid w:val="00005909"/>
    <w:rsid w:val="000165D4"/>
    <w:rsid w:val="00020854"/>
    <w:rsid w:val="00025388"/>
    <w:rsid w:val="0002614F"/>
    <w:rsid w:val="0003377C"/>
    <w:rsid w:val="0004224C"/>
    <w:rsid w:val="000518B5"/>
    <w:rsid w:val="00061101"/>
    <w:rsid w:val="00061B5C"/>
    <w:rsid w:val="00095B81"/>
    <w:rsid w:val="000B126D"/>
    <w:rsid w:val="000B4648"/>
    <w:rsid w:val="000D4DC7"/>
    <w:rsid w:val="00105BEB"/>
    <w:rsid w:val="00134801"/>
    <w:rsid w:val="0015747E"/>
    <w:rsid w:val="00170428"/>
    <w:rsid w:val="00176680"/>
    <w:rsid w:val="00185094"/>
    <w:rsid w:val="001F0CCF"/>
    <w:rsid w:val="001F312F"/>
    <w:rsid w:val="0020522F"/>
    <w:rsid w:val="00217524"/>
    <w:rsid w:val="0023393E"/>
    <w:rsid w:val="00234430"/>
    <w:rsid w:val="00243D83"/>
    <w:rsid w:val="00244B70"/>
    <w:rsid w:val="002553BA"/>
    <w:rsid w:val="00273E66"/>
    <w:rsid w:val="002A2472"/>
    <w:rsid w:val="002B2D97"/>
    <w:rsid w:val="002D066D"/>
    <w:rsid w:val="002E190B"/>
    <w:rsid w:val="00335F1C"/>
    <w:rsid w:val="00336C07"/>
    <w:rsid w:val="003426A5"/>
    <w:rsid w:val="003452C7"/>
    <w:rsid w:val="00345C43"/>
    <w:rsid w:val="00347F9D"/>
    <w:rsid w:val="003713E6"/>
    <w:rsid w:val="00386388"/>
    <w:rsid w:val="003975F1"/>
    <w:rsid w:val="003A5346"/>
    <w:rsid w:val="003A6854"/>
    <w:rsid w:val="003D54BC"/>
    <w:rsid w:val="004057FB"/>
    <w:rsid w:val="00416963"/>
    <w:rsid w:val="0042643C"/>
    <w:rsid w:val="00436F54"/>
    <w:rsid w:val="004507D1"/>
    <w:rsid w:val="00472BAF"/>
    <w:rsid w:val="004C32E6"/>
    <w:rsid w:val="004D2A8F"/>
    <w:rsid w:val="004E59C7"/>
    <w:rsid w:val="0051178A"/>
    <w:rsid w:val="005413BC"/>
    <w:rsid w:val="00575BE7"/>
    <w:rsid w:val="005E26E7"/>
    <w:rsid w:val="005E5734"/>
    <w:rsid w:val="00626D78"/>
    <w:rsid w:val="00630F35"/>
    <w:rsid w:val="00652094"/>
    <w:rsid w:val="00661DC3"/>
    <w:rsid w:val="006622D9"/>
    <w:rsid w:val="006A3401"/>
    <w:rsid w:val="006B745B"/>
    <w:rsid w:val="006F1980"/>
    <w:rsid w:val="00736BD8"/>
    <w:rsid w:val="00762B77"/>
    <w:rsid w:val="00766AAA"/>
    <w:rsid w:val="00774750"/>
    <w:rsid w:val="00783374"/>
    <w:rsid w:val="00784B32"/>
    <w:rsid w:val="0078755A"/>
    <w:rsid w:val="00790ACC"/>
    <w:rsid w:val="0079582E"/>
    <w:rsid w:val="007A2D28"/>
    <w:rsid w:val="007B5217"/>
    <w:rsid w:val="007C75FF"/>
    <w:rsid w:val="007D5B7F"/>
    <w:rsid w:val="008176A3"/>
    <w:rsid w:val="00832FD7"/>
    <w:rsid w:val="008621E1"/>
    <w:rsid w:val="00862219"/>
    <w:rsid w:val="00864178"/>
    <w:rsid w:val="008A2A23"/>
    <w:rsid w:val="008A560E"/>
    <w:rsid w:val="008B5BB5"/>
    <w:rsid w:val="008C462E"/>
    <w:rsid w:val="008D6CE9"/>
    <w:rsid w:val="008F1CDF"/>
    <w:rsid w:val="009014F8"/>
    <w:rsid w:val="009027A3"/>
    <w:rsid w:val="0093223D"/>
    <w:rsid w:val="00944DDF"/>
    <w:rsid w:val="0095560A"/>
    <w:rsid w:val="0097551E"/>
    <w:rsid w:val="0097789B"/>
    <w:rsid w:val="00983493"/>
    <w:rsid w:val="009A38F6"/>
    <w:rsid w:val="009A7DD2"/>
    <w:rsid w:val="009B0653"/>
    <w:rsid w:val="009D222F"/>
    <w:rsid w:val="009E0AD7"/>
    <w:rsid w:val="00A03A09"/>
    <w:rsid w:val="00A0615F"/>
    <w:rsid w:val="00A366E9"/>
    <w:rsid w:val="00A52233"/>
    <w:rsid w:val="00A53F22"/>
    <w:rsid w:val="00A82BBC"/>
    <w:rsid w:val="00A965BD"/>
    <w:rsid w:val="00AB1B6A"/>
    <w:rsid w:val="00AC6B39"/>
    <w:rsid w:val="00B25C18"/>
    <w:rsid w:val="00B36424"/>
    <w:rsid w:val="00B44735"/>
    <w:rsid w:val="00B51E62"/>
    <w:rsid w:val="00B64A7D"/>
    <w:rsid w:val="00B72C13"/>
    <w:rsid w:val="00B76538"/>
    <w:rsid w:val="00B91C50"/>
    <w:rsid w:val="00B9264D"/>
    <w:rsid w:val="00BB0FB7"/>
    <w:rsid w:val="00BC0F80"/>
    <w:rsid w:val="00BD6092"/>
    <w:rsid w:val="00C01368"/>
    <w:rsid w:val="00C12A5E"/>
    <w:rsid w:val="00C275AC"/>
    <w:rsid w:val="00C4054C"/>
    <w:rsid w:val="00C4244A"/>
    <w:rsid w:val="00C52531"/>
    <w:rsid w:val="00C65D4C"/>
    <w:rsid w:val="00C82C43"/>
    <w:rsid w:val="00CB3241"/>
    <w:rsid w:val="00CC1AC7"/>
    <w:rsid w:val="00CE6278"/>
    <w:rsid w:val="00D411C4"/>
    <w:rsid w:val="00D4784D"/>
    <w:rsid w:val="00D56BDD"/>
    <w:rsid w:val="00D63DE6"/>
    <w:rsid w:val="00D93A43"/>
    <w:rsid w:val="00DC1D4F"/>
    <w:rsid w:val="00DF7DBF"/>
    <w:rsid w:val="00E04B12"/>
    <w:rsid w:val="00E120B6"/>
    <w:rsid w:val="00E13481"/>
    <w:rsid w:val="00E500C8"/>
    <w:rsid w:val="00E90DCD"/>
    <w:rsid w:val="00EA73D1"/>
    <w:rsid w:val="00EC411F"/>
    <w:rsid w:val="00EE1826"/>
    <w:rsid w:val="00EE635E"/>
    <w:rsid w:val="00EF0A86"/>
    <w:rsid w:val="00EF1E53"/>
    <w:rsid w:val="00F05846"/>
    <w:rsid w:val="00F67C01"/>
    <w:rsid w:val="00F72D87"/>
    <w:rsid w:val="00FA0EC7"/>
    <w:rsid w:val="00FC687C"/>
    <w:rsid w:val="00FD0793"/>
    <w:rsid w:val="00FD2FBD"/>
    <w:rsid w:val="00FE71A1"/>
    <w:rsid w:val="00FF3F23"/>
    <w:rsid w:val="00FF5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B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2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094"/>
    <w:rPr>
      <w:rFonts w:ascii="Tahoma" w:hAnsi="Tahoma" w:cs="Tahoma"/>
      <w:sz w:val="16"/>
      <w:szCs w:val="16"/>
    </w:rPr>
  </w:style>
  <w:style w:type="paragraph" w:styleId="Header">
    <w:name w:val="header"/>
    <w:basedOn w:val="Normal"/>
    <w:link w:val="HeaderChar"/>
    <w:uiPriority w:val="99"/>
    <w:unhideWhenUsed/>
    <w:rsid w:val="00DC1D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D4F"/>
  </w:style>
  <w:style w:type="paragraph" w:styleId="Footer">
    <w:name w:val="footer"/>
    <w:basedOn w:val="Normal"/>
    <w:link w:val="FooterChar"/>
    <w:uiPriority w:val="99"/>
    <w:unhideWhenUsed/>
    <w:rsid w:val="00DC1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D4F"/>
  </w:style>
  <w:style w:type="character" w:styleId="Hyperlink">
    <w:name w:val="Hyperlink"/>
    <w:basedOn w:val="DefaultParagraphFont"/>
    <w:uiPriority w:val="99"/>
    <w:unhideWhenUsed/>
    <w:rsid w:val="00FD2FBD"/>
    <w:rPr>
      <w:color w:val="0000FF" w:themeColor="hyperlink"/>
      <w:u w:val="single"/>
    </w:rPr>
  </w:style>
  <w:style w:type="paragraph" w:styleId="ListParagraph">
    <w:name w:val="List Paragraph"/>
    <w:basedOn w:val="Normal"/>
    <w:uiPriority w:val="34"/>
    <w:qFormat/>
    <w:rsid w:val="0023393E"/>
    <w:pPr>
      <w:ind w:left="720"/>
      <w:contextualSpacing/>
    </w:pPr>
  </w:style>
  <w:style w:type="table" w:styleId="TableGrid">
    <w:name w:val="Table Grid"/>
    <w:basedOn w:val="TableNormal"/>
    <w:uiPriority w:val="59"/>
    <w:rsid w:val="003A6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B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52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2094"/>
    <w:rPr>
      <w:rFonts w:ascii="Tahoma" w:hAnsi="Tahoma" w:cs="Tahoma"/>
      <w:sz w:val="16"/>
      <w:szCs w:val="16"/>
    </w:rPr>
  </w:style>
  <w:style w:type="paragraph" w:styleId="Header">
    <w:name w:val="header"/>
    <w:basedOn w:val="Normal"/>
    <w:link w:val="HeaderChar"/>
    <w:uiPriority w:val="99"/>
    <w:unhideWhenUsed/>
    <w:rsid w:val="00DC1D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D4F"/>
  </w:style>
  <w:style w:type="paragraph" w:styleId="Footer">
    <w:name w:val="footer"/>
    <w:basedOn w:val="Normal"/>
    <w:link w:val="FooterChar"/>
    <w:uiPriority w:val="99"/>
    <w:unhideWhenUsed/>
    <w:rsid w:val="00DC1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D4F"/>
  </w:style>
  <w:style w:type="character" w:styleId="Hyperlink">
    <w:name w:val="Hyperlink"/>
    <w:basedOn w:val="DefaultParagraphFont"/>
    <w:uiPriority w:val="99"/>
    <w:unhideWhenUsed/>
    <w:rsid w:val="00FD2FBD"/>
    <w:rPr>
      <w:color w:val="0000FF" w:themeColor="hyperlink"/>
      <w:u w:val="single"/>
    </w:rPr>
  </w:style>
  <w:style w:type="paragraph" w:styleId="ListParagraph">
    <w:name w:val="List Paragraph"/>
    <w:basedOn w:val="Normal"/>
    <w:uiPriority w:val="34"/>
    <w:qFormat/>
    <w:rsid w:val="0023393E"/>
    <w:pPr>
      <w:ind w:left="720"/>
      <w:contextualSpacing/>
    </w:pPr>
  </w:style>
  <w:style w:type="table" w:styleId="TableGrid">
    <w:name w:val="Table Grid"/>
    <w:basedOn w:val="TableNormal"/>
    <w:uiPriority w:val="59"/>
    <w:rsid w:val="003A68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576">
      <w:bodyDiv w:val="1"/>
      <w:marLeft w:val="0"/>
      <w:marRight w:val="0"/>
      <w:marTop w:val="0"/>
      <w:marBottom w:val="0"/>
      <w:divBdr>
        <w:top w:val="none" w:sz="0" w:space="0" w:color="auto"/>
        <w:left w:val="none" w:sz="0" w:space="0" w:color="auto"/>
        <w:bottom w:val="none" w:sz="0" w:space="0" w:color="auto"/>
        <w:right w:val="none" w:sz="0" w:space="0" w:color="auto"/>
      </w:divBdr>
      <w:divsChild>
        <w:div w:id="973367070">
          <w:marLeft w:val="806"/>
          <w:marRight w:val="0"/>
          <w:marTop w:val="64"/>
          <w:marBottom w:val="0"/>
          <w:divBdr>
            <w:top w:val="none" w:sz="0" w:space="0" w:color="auto"/>
            <w:left w:val="none" w:sz="0" w:space="0" w:color="auto"/>
            <w:bottom w:val="none" w:sz="0" w:space="0" w:color="auto"/>
            <w:right w:val="none" w:sz="0" w:space="0" w:color="auto"/>
          </w:divBdr>
        </w:div>
        <w:div w:id="1933779653">
          <w:marLeft w:val="1526"/>
          <w:marRight w:val="0"/>
          <w:marTop w:val="64"/>
          <w:marBottom w:val="0"/>
          <w:divBdr>
            <w:top w:val="none" w:sz="0" w:space="0" w:color="auto"/>
            <w:left w:val="none" w:sz="0" w:space="0" w:color="auto"/>
            <w:bottom w:val="none" w:sz="0" w:space="0" w:color="auto"/>
            <w:right w:val="none" w:sz="0" w:space="0" w:color="auto"/>
          </w:divBdr>
        </w:div>
        <w:div w:id="1733500831">
          <w:marLeft w:val="1526"/>
          <w:marRight w:val="0"/>
          <w:marTop w:val="64"/>
          <w:marBottom w:val="0"/>
          <w:divBdr>
            <w:top w:val="none" w:sz="0" w:space="0" w:color="auto"/>
            <w:left w:val="none" w:sz="0" w:space="0" w:color="auto"/>
            <w:bottom w:val="none" w:sz="0" w:space="0" w:color="auto"/>
            <w:right w:val="none" w:sz="0" w:space="0" w:color="auto"/>
          </w:divBdr>
        </w:div>
        <w:div w:id="1870489007">
          <w:marLeft w:val="1526"/>
          <w:marRight w:val="0"/>
          <w:marTop w:val="64"/>
          <w:marBottom w:val="0"/>
          <w:divBdr>
            <w:top w:val="none" w:sz="0" w:space="0" w:color="auto"/>
            <w:left w:val="none" w:sz="0" w:space="0" w:color="auto"/>
            <w:bottom w:val="none" w:sz="0" w:space="0" w:color="auto"/>
            <w:right w:val="none" w:sz="0" w:space="0" w:color="auto"/>
          </w:divBdr>
        </w:div>
      </w:divsChild>
    </w:div>
    <w:div w:id="161432147">
      <w:bodyDiv w:val="1"/>
      <w:marLeft w:val="0"/>
      <w:marRight w:val="0"/>
      <w:marTop w:val="0"/>
      <w:marBottom w:val="0"/>
      <w:divBdr>
        <w:top w:val="none" w:sz="0" w:space="0" w:color="auto"/>
        <w:left w:val="none" w:sz="0" w:space="0" w:color="auto"/>
        <w:bottom w:val="none" w:sz="0" w:space="0" w:color="auto"/>
        <w:right w:val="none" w:sz="0" w:space="0" w:color="auto"/>
      </w:divBdr>
      <w:divsChild>
        <w:div w:id="2032947000">
          <w:marLeft w:val="0"/>
          <w:marRight w:val="0"/>
          <w:marTop w:val="0"/>
          <w:marBottom w:val="0"/>
          <w:divBdr>
            <w:top w:val="none" w:sz="0" w:space="0" w:color="auto"/>
            <w:left w:val="none" w:sz="0" w:space="0" w:color="auto"/>
            <w:bottom w:val="none" w:sz="0" w:space="0" w:color="auto"/>
            <w:right w:val="none" w:sz="0" w:space="0" w:color="auto"/>
          </w:divBdr>
          <w:divsChild>
            <w:div w:id="557322878">
              <w:marLeft w:val="0"/>
              <w:marRight w:val="0"/>
              <w:marTop w:val="0"/>
              <w:marBottom w:val="0"/>
              <w:divBdr>
                <w:top w:val="none" w:sz="0" w:space="0" w:color="auto"/>
                <w:left w:val="none" w:sz="0" w:space="0" w:color="auto"/>
                <w:bottom w:val="none" w:sz="0" w:space="0" w:color="auto"/>
                <w:right w:val="none" w:sz="0" w:space="0" w:color="auto"/>
              </w:divBdr>
              <w:divsChild>
                <w:div w:id="1304509488">
                  <w:marLeft w:val="0"/>
                  <w:marRight w:val="0"/>
                  <w:marTop w:val="0"/>
                  <w:marBottom w:val="0"/>
                  <w:divBdr>
                    <w:top w:val="none" w:sz="0" w:space="0" w:color="auto"/>
                    <w:left w:val="none" w:sz="0" w:space="0" w:color="auto"/>
                    <w:bottom w:val="none" w:sz="0" w:space="0" w:color="auto"/>
                    <w:right w:val="none" w:sz="0" w:space="0" w:color="auto"/>
                  </w:divBdr>
                  <w:divsChild>
                    <w:div w:id="165460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87193">
      <w:bodyDiv w:val="1"/>
      <w:marLeft w:val="0"/>
      <w:marRight w:val="0"/>
      <w:marTop w:val="0"/>
      <w:marBottom w:val="0"/>
      <w:divBdr>
        <w:top w:val="none" w:sz="0" w:space="0" w:color="auto"/>
        <w:left w:val="none" w:sz="0" w:space="0" w:color="auto"/>
        <w:bottom w:val="none" w:sz="0" w:space="0" w:color="auto"/>
        <w:right w:val="none" w:sz="0" w:space="0" w:color="auto"/>
      </w:divBdr>
      <w:divsChild>
        <w:div w:id="1658192207">
          <w:marLeft w:val="806"/>
          <w:marRight w:val="0"/>
          <w:marTop w:val="64"/>
          <w:marBottom w:val="0"/>
          <w:divBdr>
            <w:top w:val="none" w:sz="0" w:space="0" w:color="auto"/>
            <w:left w:val="none" w:sz="0" w:space="0" w:color="auto"/>
            <w:bottom w:val="none" w:sz="0" w:space="0" w:color="auto"/>
            <w:right w:val="none" w:sz="0" w:space="0" w:color="auto"/>
          </w:divBdr>
        </w:div>
        <w:div w:id="1238587056">
          <w:marLeft w:val="1526"/>
          <w:marRight w:val="0"/>
          <w:marTop w:val="64"/>
          <w:marBottom w:val="0"/>
          <w:divBdr>
            <w:top w:val="none" w:sz="0" w:space="0" w:color="auto"/>
            <w:left w:val="none" w:sz="0" w:space="0" w:color="auto"/>
            <w:bottom w:val="none" w:sz="0" w:space="0" w:color="auto"/>
            <w:right w:val="none" w:sz="0" w:space="0" w:color="auto"/>
          </w:divBdr>
        </w:div>
        <w:div w:id="147938846">
          <w:marLeft w:val="2246"/>
          <w:marRight w:val="0"/>
          <w:marTop w:val="64"/>
          <w:marBottom w:val="0"/>
          <w:divBdr>
            <w:top w:val="none" w:sz="0" w:space="0" w:color="auto"/>
            <w:left w:val="none" w:sz="0" w:space="0" w:color="auto"/>
            <w:bottom w:val="none" w:sz="0" w:space="0" w:color="auto"/>
            <w:right w:val="none" w:sz="0" w:space="0" w:color="auto"/>
          </w:divBdr>
        </w:div>
        <w:div w:id="1061909513">
          <w:marLeft w:val="1526"/>
          <w:marRight w:val="0"/>
          <w:marTop w:val="64"/>
          <w:marBottom w:val="0"/>
          <w:divBdr>
            <w:top w:val="none" w:sz="0" w:space="0" w:color="auto"/>
            <w:left w:val="none" w:sz="0" w:space="0" w:color="auto"/>
            <w:bottom w:val="none" w:sz="0" w:space="0" w:color="auto"/>
            <w:right w:val="none" w:sz="0" w:space="0" w:color="auto"/>
          </w:divBdr>
        </w:div>
        <w:div w:id="37511141">
          <w:marLeft w:val="2246"/>
          <w:marRight w:val="0"/>
          <w:marTop w:val="64"/>
          <w:marBottom w:val="0"/>
          <w:divBdr>
            <w:top w:val="none" w:sz="0" w:space="0" w:color="auto"/>
            <w:left w:val="none" w:sz="0" w:space="0" w:color="auto"/>
            <w:bottom w:val="none" w:sz="0" w:space="0" w:color="auto"/>
            <w:right w:val="none" w:sz="0" w:space="0" w:color="auto"/>
          </w:divBdr>
        </w:div>
        <w:div w:id="1350566071">
          <w:marLeft w:val="1526"/>
          <w:marRight w:val="0"/>
          <w:marTop w:val="64"/>
          <w:marBottom w:val="0"/>
          <w:divBdr>
            <w:top w:val="none" w:sz="0" w:space="0" w:color="auto"/>
            <w:left w:val="none" w:sz="0" w:space="0" w:color="auto"/>
            <w:bottom w:val="none" w:sz="0" w:space="0" w:color="auto"/>
            <w:right w:val="none" w:sz="0" w:space="0" w:color="auto"/>
          </w:divBdr>
        </w:div>
        <w:div w:id="1794445257">
          <w:marLeft w:val="2246"/>
          <w:marRight w:val="0"/>
          <w:marTop w:val="64"/>
          <w:marBottom w:val="0"/>
          <w:divBdr>
            <w:top w:val="none" w:sz="0" w:space="0" w:color="auto"/>
            <w:left w:val="none" w:sz="0" w:space="0" w:color="auto"/>
            <w:bottom w:val="none" w:sz="0" w:space="0" w:color="auto"/>
            <w:right w:val="none" w:sz="0" w:space="0" w:color="auto"/>
          </w:divBdr>
        </w:div>
      </w:divsChild>
    </w:div>
    <w:div w:id="216011007">
      <w:marLeft w:val="0"/>
      <w:marRight w:val="0"/>
      <w:marTop w:val="0"/>
      <w:marBottom w:val="0"/>
      <w:divBdr>
        <w:top w:val="none" w:sz="0" w:space="0" w:color="auto"/>
        <w:left w:val="none" w:sz="0" w:space="0" w:color="auto"/>
        <w:bottom w:val="none" w:sz="0" w:space="0" w:color="auto"/>
        <w:right w:val="none" w:sz="0" w:space="0" w:color="auto"/>
      </w:divBdr>
    </w:div>
    <w:div w:id="221403968">
      <w:bodyDiv w:val="1"/>
      <w:marLeft w:val="0"/>
      <w:marRight w:val="0"/>
      <w:marTop w:val="0"/>
      <w:marBottom w:val="0"/>
      <w:divBdr>
        <w:top w:val="none" w:sz="0" w:space="0" w:color="auto"/>
        <w:left w:val="none" w:sz="0" w:space="0" w:color="auto"/>
        <w:bottom w:val="none" w:sz="0" w:space="0" w:color="auto"/>
        <w:right w:val="none" w:sz="0" w:space="0" w:color="auto"/>
      </w:divBdr>
      <w:divsChild>
        <w:div w:id="1188524489">
          <w:marLeft w:val="806"/>
          <w:marRight w:val="0"/>
          <w:marTop w:val="64"/>
          <w:marBottom w:val="0"/>
          <w:divBdr>
            <w:top w:val="none" w:sz="0" w:space="0" w:color="auto"/>
            <w:left w:val="none" w:sz="0" w:space="0" w:color="auto"/>
            <w:bottom w:val="none" w:sz="0" w:space="0" w:color="auto"/>
            <w:right w:val="none" w:sz="0" w:space="0" w:color="auto"/>
          </w:divBdr>
        </w:div>
        <w:div w:id="1247619329">
          <w:marLeft w:val="1526"/>
          <w:marRight w:val="0"/>
          <w:marTop w:val="64"/>
          <w:marBottom w:val="0"/>
          <w:divBdr>
            <w:top w:val="none" w:sz="0" w:space="0" w:color="auto"/>
            <w:left w:val="none" w:sz="0" w:space="0" w:color="auto"/>
            <w:bottom w:val="none" w:sz="0" w:space="0" w:color="auto"/>
            <w:right w:val="none" w:sz="0" w:space="0" w:color="auto"/>
          </w:divBdr>
        </w:div>
        <w:div w:id="301421960">
          <w:marLeft w:val="1526"/>
          <w:marRight w:val="0"/>
          <w:marTop w:val="64"/>
          <w:marBottom w:val="0"/>
          <w:divBdr>
            <w:top w:val="none" w:sz="0" w:space="0" w:color="auto"/>
            <w:left w:val="none" w:sz="0" w:space="0" w:color="auto"/>
            <w:bottom w:val="none" w:sz="0" w:space="0" w:color="auto"/>
            <w:right w:val="none" w:sz="0" w:space="0" w:color="auto"/>
          </w:divBdr>
        </w:div>
        <w:div w:id="770707110">
          <w:marLeft w:val="1526"/>
          <w:marRight w:val="0"/>
          <w:marTop w:val="64"/>
          <w:marBottom w:val="0"/>
          <w:divBdr>
            <w:top w:val="none" w:sz="0" w:space="0" w:color="auto"/>
            <w:left w:val="none" w:sz="0" w:space="0" w:color="auto"/>
            <w:bottom w:val="none" w:sz="0" w:space="0" w:color="auto"/>
            <w:right w:val="none" w:sz="0" w:space="0" w:color="auto"/>
          </w:divBdr>
        </w:div>
        <w:div w:id="1563786146">
          <w:marLeft w:val="1526"/>
          <w:marRight w:val="0"/>
          <w:marTop w:val="64"/>
          <w:marBottom w:val="0"/>
          <w:divBdr>
            <w:top w:val="none" w:sz="0" w:space="0" w:color="auto"/>
            <w:left w:val="none" w:sz="0" w:space="0" w:color="auto"/>
            <w:bottom w:val="none" w:sz="0" w:space="0" w:color="auto"/>
            <w:right w:val="none" w:sz="0" w:space="0" w:color="auto"/>
          </w:divBdr>
        </w:div>
        <w:div w:id="778140644">
          <w:marLeft w:val="1526"/>
          <w:marRight w:val="0"/>
          <w:marTop w:val="64"/>
          <w:marBottom w:val="0"/>
          <w:divBdr>
            <w:top w:val="none" w:sz="0" w:space="0" w:color="auto"/>
            <w:left w:val="none" w:sz="0" w:space="0" w:color="auto"/>
            <w:bottom w:val="none" w:sz="0" w:space="0" w:color="auto"/>
            <w:right w:val="none" w:sz="0" w:space="0" w:color="auto"/>
          </w:divBdr>
        </w:div>
        <w:div w:id="273754306">
          <w:marLeft w:val="1526"/>
          <w:marRight w:val="0"/>
          <w:marTop w:val="64"/>
          <w:marBottom w:val="0"/>
          <w:divBdr>
            <w:top w:val="none" w:sz="0" w:space="0" w:color="auto"/>
            <w:left w:val="none" w:sz="0" w:space="0" w:color="auto"/>
            <w:bottom w:val="none" w:sz="0" w:space="0" w:color="auto"/>
            <w:right w:val="none" w:sz="0" w:space="0" w:color="auto"/>
          </w:divBdr>
        </w:div>
        <w:div w:id="2118088979">
          <w:marLeft w:val="1526"/>
          <w:marRight w:val="0"/>
          <w:marTop w:val="64"/>
          <w:marBottom w:val="0"/>
          <w:divBdr>
            <w:top w:val="none" w:sz="0" w:space="0" w:color="auto"/>
            <w:left w:val="none" w:sz="0" w:space="0" w:color="auto"/>
            <w:bottom w:val="none" w:sz="0" w:space="0" w:color="auto"/>
            <w:right w:val="none" w:sz="0" w:space="0" w:color="auto"/>
          </w:divBdr>
        </w:div>
      </w:divsChild>
    </w:div>
    <w:div w:id="263264723">
      <w:bodyDiv w:val="1"/>
      <w:marLeft w:val="0"/>
      <w:marRight w:val="0"/>
      <w:marTop w:val="0"/>
      <w:marBottom w:val="0"/>
      <w:divBdr>
        <w:top w:val="none" w:sz="0" w:space="0" w:color="auto"/>
        <w:left w:val="none" w:sz="0" w:space="0" w:color="auto"/>
        <w:bottom w:val="none" w:sz="0" w:space="0" w:color="auto"/>
        <w:right w:val="none" w:sz="0" w:space="0" w:color="auto"/>
      </w:divBdr>
    </w:div>
    <w:div w:id="281807698">
      <w:bodyDiv w:val="1"/>
      <w:marLeft w:val="0"/>
      <w:marRight w:val="0"/>
      <w:marTop w:val="0"/>
      <w:marBottom w:val="0"/>
      <w:divBdr>
        <w:top w:val="none" w:sz="0" w:space="0" w:color="auto"/>
        <w:left w:val="none" w:sz="0" w:space="0" w:color="auto"/>
        <w:bottom w:val="none" w:sz="0" w:space="0" w:color="auto"/>
        <w:right w:val="none" w:sz="0" w:space="0" w:color="auto"/>
      </w:divBdr>
    </w:div>
    <w:div w:id="408625687">
      <w:bodyDiv w:val="1"/>
      <w:marLeft w:val="0"/>
      <w:marRight w:val="0"/>
      <w:marTop w:val="0"/>
      <w:marBottom w:val="0"/>
      <w:divBdr>
        <w:top w:val="none" w:sz="0" w:space="0" w:color="auto"/>
        <w:left w:val="none" w:sz="0" w:space="0" w:color="auto"/>
        <w:bottom w:val="none" w:sz="0" w:space="0" w:color="auto"/>
        <w:right w:val="none" w:sz="0" w:space="0" w:color="auto"/>
      </w:divBdr>
      <w:divsChild>
        <w:div w:id="1055933619">
          <w:marLeft w:val="0"/>
          <w:marRight w:val="0"/>
          <w:marTop w:val="0"/>
          <w:marBottom w:val="150"/>
          <w:divBdr>
            <w:top w:val="none" w:sz="0" w:space="0" w:color="auto"/>
            <w:left w:val="none" w:sz="0" w:space="0" w:color="auto"/>
            <w:bottom w:val="none" w:sz="0" w:space="0" w:color="auto"/>
            <w:right w:val="none" w:sz="0" w:space="0" w:color="auto"/>
          </w:divBdr>
        </w:div>
      </w:divsChild>
    </w:div>
    <w:div w:id="428283949">
      <w:bodyDiv w:val="1"/>
      <w:marLeft w:val="0"/>
      <w:marRight w:val="0"/>
      <w:marTop w:val="0"/>
      <w:marBottom w:val="0"/>
      <w:divBdr>
        <w:top w:val="none" w:sz="0" w:space="0" w:color="auto"/>
        <w:left w:val="none" w:sz="0" w:space="0" w:color="auto"/>
        <w:bottom w:val="none" w:sz="0" w:space="0" w:color="auto"/>
        <w:right w:val="none" w:sz="0" w:space="0" w:color="auto"/>
      </w:divBdr>
    </w:div>
    <w:div w:id="464785036">
      <w:marLeft w:val="0"/>
      <w:marRight w:val="0"/>
      <w:marTop w:val="0"/>
      <w:marBottom w:val="0"/>
      <w:divBdr>
        <w:top w:val="none" w:sz="0" w:space="0" w:color="auto"/>
        <w:left w:val="none" w:sz="0" w:space="0" w:color="auto"/>
        <w:bottom w:val="none" w:sz="0" w:space="0" w:color="auto"/>
        <w:right w:val="none" w:sz="0" w:space="0" w:color="auto"/>
      </w:divBdr>
    </w:div>
    <w:div w:id="481771404">
      <w:marLeft w:val="0"/>
      <w:marRight w:val="0"/>
      <w:marTop w:val="0"/>
      <w:marBottom w:val="0"/>
      <w:divBdr>
        <w:top w:val="none" w:sz="0" w:space="0" w:color="auto"/>
        <w:left w:val="none" w:sz="0" w:space="0" w:color="auto"/>
        <w:bottom w:val="none" w:sz="0" w:space="0" w:color="auto"/>
        <w:right w:val="none" w:sz="0" w:space="0" w:color="auto"/>
      </w:divBdr>
    </w:div>
    <w:div w:id="515729583">
      <w:bodyDiv w:val="1"/>
      <w:marLeft w:val="0"/>
      <w:marRight w:val="0"/>
      <w:marTop w:val="0"/>
      <w:marBottom w:val="0"/>
      <w:divBdr>
        <w:top w:val="none" w:sz="0" w:space="0" w:color="auto"/>
        <w:left w:val="none" w:sz="0" w:space="0" w:color="auto"/>
        <w:bottom w:val="none" w:sz="0" w:space="0" w:color="auto"/>
        <w:right w:val="none" w:sz="0" w:space="0" w:color="auto"/>
      </w:divBdr>
      <w:divsChild>
        <w:div w:id="1457988749">
          <w:marLeft w:val="806"/>
          <w:marRight w:val="0"/>
          <w:marTop w:val="64"/>
          <w:marBottom w:val="0"/>
          <w:divBdr>
            <w:top w:val="none" w:sz="0" w:space="0" w:color="auto"/>
            <w:left w:val="none" w:sz="0" w:space="0" w:color="auto"/>
            <w:bottom w:val="none" w:sz="0" w:space="0" w:color="auto"/>
            <w:right w:val="none" w:sz="0" w:space="0" w:color="auto"/>
          </w:divBdr>
        </w:div>
        <w:div w:id="1672298302">
          <w:marLeft w:val="1526"/>
          <w:marRight w:val="0"/>
          <w:marTop w:val="64"/>
          <w:marBottom w:val="0"/>
          <w:divBdr>
            <w:top w:val="none" w:sz="0" w:space="0" w:color="auto"/>
            <w:left w:val="none" w:sz="0" w:space="0" w:color="auto"/>
            <w:bottom w:val="none" w:sz="0" w:space="0" w:color="auto"/>
            <w:right w:val="none" w:sz="0" w:space="0" w:color="auto"/>
          </w:divBdr>
        </w:div>
        <w:div w:id="1061907623">
          <w:marLeft w:val="1526"/>
          <w:marRight w:val="0"/>
          <w:marTop w:val="64"/>
          <w:marBottom w:val="0"/>
          <w:divBdr>
            <w:top w:val="none" w:sz="0" w:space="0" w:color="auto"/>
            <w:left w:val="none" w:sz="0" w:space="0" w:color="auto"/>
            <w:bottom w:val="none" w:sz="0" w:space="0" w:color="auto"/>
            <w:right w:val="none" w:sz="0" w:space="0" w:color="auto"/>
          </w:divBdr>
        </w:div>
        <w:div w:id="1692409821">
          <w:marLeft w:val="2246"/>
          <w:marRight w:val="0"/>
          <w:marTop w:val="64"/>
          <w:marBottom w:val="0"/>
          <w:divBdr>
            <w:top w:val="none" w:sz="0" w:space="0" w:color="auto"/>
            <w:left w:val="none" w:sz="0" w:space="0" w:color="auto"/>
            <w:bottom w:val="none" w:sz="0" w:space="0" w:color="auto"/>
            <w:right w:val="none" w:sz="0" w:space="0" w:color="auto"/>
          </w:divBdr>
        </w:div>
        <w:div w:id="1599942067">
          <w:marLeft w:val="2246"/>
          <w:marRight w:val="0"/>
          <w:marTop w:val="64"/>
          <w:marBottom w:val="0"/>
          <w:divBdr>
            <w:top w:val="none" w:sz="0" w:space="0" w:color="auto"/>
            <w:left w:val="none" w:sz="0" w:space="0" w:color="auto"/>
            <w:bottom w:val="none" w:sz="0" w:space="0" w:color="auto"/>
            <w:right w:val="none" w:sz="0" w:space="0" w:color="auto"/>
          </w:divBdr>
        </w:div>
        <w:div w:id="896934463">
          <w:marLeft w:val="1526"/>
          <w:marRight w:val="0"/>
          <w:marTop w:val="64"/>
          <w:marBottom w:val="0"/>
          <w:divBdr>
            <w:top w:val="none" w:sz="0" w:space="0" w:color="auto"/>
            <w:left w:val="none" w:sz="0" w:space="0" w:color="auto"/>
            <w:bottom w:val="none" w:sz="0" w:space="0" w:color="auto"/>
            <w:right w:val="none" w:sz="0" w:space="0" w:color="auto"/>
          </w:divBdr>
        </w:div>
        <w:div w:id="1345981538">
          <w:marLeft w:val="1526"/>
          <w:marRight w:val="0"/>
          <w:marTop w:val="64"/>
          <w:marBottom w:val="0"/>
          <w:divBdr>
            <w:top w:val="none" w:sz="0" w:space="0" w:color="auto"/>
            <w:left w:val="none" w:sz="0" w:space="0" w:color="auto"/>
            <w:bottom w:val="none" w:sz="0" w:space="0" w:color="auto"/>
            <w:right w:val="none" w:sz="0" w:space="0" w:color="auto"/>
          </w:divBdr>
        </w:div>
      </w:divsChild>
    </w:div>
    <w:div w:id="524366889">
      <w:marLeft w:val="0"/>
      <w:marRight w:val="0"/>
      <w:marTop w:val="0"/>
      <w:marBottom w:val="0"/>
      <w:divBdr>
        <w:top w:val="none" w:sz="0" w:space="0" w:color="auto"/>
        <w:left w:val="none" w:sz="0" w:space="0" w:color="auto"/>
        <w:bottom w:val="none" w:sz="0" w:space="0" w:color="auto"/>
        <w:right w:val="none" w:sz="0" w:space="0" w:color="auto"/>
      </w:divBdr>
    </w:div>
    <w:div w:id="575676302">
      <w:marLeft w:val="0"/>
      <w:marRight w:val="0"/>
      <w:marTop w:val="0"/>
      <w:marBottom w:val="0"/>
      <w:divBdr>
        <w:top w:val="none" w:sz="0" w:space="0" w:color="auto"/>
        <w:left w:val="none" w:sz="0" w:space="0" w:color="auto"/>
        <w:bottom w:val="none" w:sz="0" w:space="0" w:color="auto"/>
        <w:right w:val="none" w:sz="0" w:space="0" w:color="auto"/>
      </w:divBdr>
    </w:div>
    <w:div w:id="719404641">
      <w:marLeft w:val="0"/>
      <w:marRight w:val="0"/>
      <w:marTop w:val="0"/>
      <w:marBottom w:val="0"/>
      <w:divBdr>
        <w:top w:val="none" w:sz="0" w:space="0" w:color="auto"/>
        <w:left w:val="none" w:sz="0" w:space="0" w:color="auto"/>
        <w:bottom w:val="none" w:sz="0" w:space="0" w:color="auto"/>
        <w:right w:val="none" w:sz="0" w:space="0" w:color="auto"/>
      </w:divBdr>
    </w:div>
    <w:div w:id="790901424">
      <w:bodyDiv w:val="1"/>
      <w:marLeft w:val="0"/>
      <w:marRight w:val="0"/>
      <w:marTop w:val="0"/>
      <w:marBottom w:val="0"/>
      <w:divBdr>
        <w:top w:val="none" w:sz="0" w:space="0" w:color="auto"/>
        <w:left w:val="none" w:sz="0" w:space="0" w:color="auto"/>
        <w:bottom w:val="none" w:sz="0" w:space="0" w:color="auto"/>
        <w:right w:val="none" w:sz="0" w:space="0" w:color="auto"/>
      </w:divBdr>
      <w:divsChild>
        <w:div w:id="601957009">
          <w:marLeft w:val="806"/>
          <w:marRight w:val="0"/>
          <w:marTop w:val="64"/>
          <w:marBottom w:val="0"/>
          <w:divBdr>
            <w:top w:val="none" w:sz="0" w:space="0" w:color="auto"/>
            <w:left w:val="none" w:sz="0" w:space="0" w:color="auto"/>
            <w:bottom w:val="none" w:sz="0" w:space="0" w:color="auto"/>
            <w:right w:val="none" w:sz="0" w:space="0" w:color="auto"/>
          </w:divBdr>
        </w:div>
        <w:div w:id="1699044582">
          <w:marLeft w:val="1526"/>
          <w:marRight w:val="0"/>
          <w:marTop w:val="64"/>
          <w:marBottom w:val="0"/>
          <w:divBdr>
            <w:top w:val="none" w:sz="0" w:space="0" w:color="auto"/>
            <w:left w:val="none" w:sz="0" w:space="0" w:color="auto"/>
            <w:bottom w:val="none" w:sz="0" w:space="0" w:color="auto"/>
            <w:right w:val="none" w:sz="0" w:space="0" w:color="auto"/>
          </w:divBdr>
        </w:div>
        <w:div w:id="670912591">
          <w:marLeft w:val="1526"/>
          <w:marRight w:val="0"/>
          <w:marTop w:val="64"/>
          <w:marBottom w:val="0"/>
          <w:divBdr>
            <w:top w:val="none" w:sz="0" w:space="0" w:color="auto"/>
            <w:left w:val="none" w:sz="0" w:space="0" w:color="auto"/>
            <w:bottom w:val="none" w:sz="0" w:space="0" w:color="auto"/>
            <w:right w:val="none" w:sz="0" w:space="0" w:color="auto"/>
          </w:divBdr>
        </w:div>
        <w:div w:id="420493730">
          <w:marLeft w:val="1526"/>
          <w:marRight w:val="0"/>
          <w:marTop w:val="64"/>
          <w:marBottom w:val="0"/>
          <w:divBdr>
            <w:top w:val="none" w:sz="0" w:space="0" w:color="auto"/>
            <w:left w:val="none" w:sz="0" w:space="0" w:color="auto"/>
            <w:bottom w:val="none" w:sz="0" w:space="0" w:color="auto"/>
            <w:right w:val="none" w:sz="0" w:space="0" w:color="auto"/>
          </w:divBdr>
        </w:div>
        <w:div w:id="1024136288">
          <w:marLeft w:val="1526"/>
          <w:marRight w:val="0"/>
          <w:marTop w:val="64"/>
          <w:marBottom w:val="0"/>
          <w:divBdr>
            <w:top w:val="none" w:sz="0" w:space="0" w:color="auto"/>
            <w:left w:val="none" w:sz="0" w:space="0" w:color="auto"/>
            <w:bottom w:val="none" w:sz="0" w:space="0" w:color="auto"/>
            <w:right w:val="none" w:sz="0" w:space="0" w:color="auto"/>
          </w:divBdr>
        </w:div>
      </w:divsChild>
    </w:div>
    <w:div w:id="834148815">
      <w:marLeft w:val="0"/>
      <w:marRight w:val="0"/>
      <w:marTop w:val="0"/>
      <w:marBottom w:val="0"/>
      <w:divBdr>
        <w:top w:val="none" w:sz="0" w:space="0" w:color="auto"/>
        <w:left w:val="none" w:sz="0" w:space="0" w:color="auto"/>
        <w:bottom w:val="none" w:sz="0" w:space="0" w:color="auto"/>
        <w:right w:val="none" w:sz="0" w:space="0" w:color="auto"/>
      </w:divBdr>
    </w:div>
    <w:div w:id="854268725">
      <w:marLeft w:val="0"/>
      <w:marRight w:val="0"/>
      <w:marTop w:val="0"/>
      <w:marBottom w:val="0"/>
      <w:divBdr>
        <w:top w:val="none" w:sz="0" w:space="0" w:color="auto"/>
        <w:left w:val="none" w:sz="0" w:space="0" w:color="auto"/>
        <w:bottom w:val="none" w:sz="0" w:space="0" w:color="auto"/>
        <w:right w:val="none" w:sz="0" w:space="0" w:color="auto"/>
      </w:divBdr>
    </w:div>
    <w:div w:id="906453261">
      <w:bodyDiv w:val="1"/>
      <w:marLeft w:val="0"/>
      <w:marRight w:val="0"/>
      <w:marTop w:val="0"/>
      <w:marBottom w:val="0"/>
      <w:divBdr>
        <w:top w:val="none" w:sz="0" w:space="0" w:color="auto"/>
        <w:left w:val="none" w:sz="0" w:space="0" w:color="auto"/>
        <w:bottom w:val="none" w:sz="0" w:space="0" w:color="auto"/>
        <w:right w:val="none" w:sz="0" w:space="0" w:color="auto"/>
      </w:divBdr>
      <w:divsChild>
        <w:div w:id="2021931049">
          <w:marLeft w:val="806"/>
          <w:marRight w:val="0"/>
          <w:marTop w:val="64"/>
          <w:marBottom w:val="0"/>
          <w:divBdr>
            <w:top w:val="none" w:sz="0" w:space="0" w:color="auto"/>
            <w:left w:val="none" w:sz="0" w:space="0" w:color="auto"/>
            <w:bottom w:val="none" w:sz="0" w:space="0" w:color="auto"/>
            <w:right w:val="none" w:sz="0" w:space="0" w:color="auto"/>
          </w:divBdr>
        </w:div>
        <w:div w:id="1324315990">
          <w:marLeft w:val="1526"/>
          <w:marRight w:val="0"/>
          <w:marTop w:val="64"/>
          <w:marBottom w:val="0"/>
          <w:divBdr>
            <w:top w:val="none" w:sz="0" w:space="0" w:color="auto"/>
            <w:left w:val="none" w:sz="0" w:space="0" w:color="auto"/>
            <w:bottom w:val="none" w:sz="0" w:space="0" w:color="auto"/>
            <w:right w:val="none" w:sz="0" w:space="0" w:color="auto"/>
          </w:divBdr>
        </w:div>
        <w:div w:id="362754640">
          <w:marLeft w:val="1526"/>
          <w:marRight w:val="0"/>
          <w:marTop w:val="64"/>
          <w:marBottom w:val="0"/>
          <w:divBdr>
            <w:top w:val="none" w:sz="0" w:space="0" w:color="auto"/>
            <w:left w:val="none" w:sz="0" w:space="0" w:color="auto"/>
            <w:bottom w:val="none" w:sz="0" w:space="0" w:color="auto"/>
            <w:right w:val="none" w:sz="0" w:space="0" w:color="auto"/>
          </w:divBdr>
        </w:div>
        <w:div w:id="1955210407">
          <w:marLeft w:val="1526"/>
          <w:marRight w:val="0"/>
          <w:marTop w:val="64"/>
          <w:marBottom w:val="0"/>
          <w:divBdr>
            <w:top w:val="none" w:sz="0" w:space="0" w:color="auto"/>
            <w:left w:val="none" w:sz="0" w:space="0" w:color="auto"/>
            <w:bottom w:val="none" w:sz="0" w:space="0" w:color="auto"/>
            <w:right w:val="none" w:sz="0" w:space="0" w:color="auto"/>
          </w:divBdr>
        </w:div>
      </w:divsChild>
    </w:div>
    <w:div w:id="910232612">
      <w:marLeft w:val="0"/>
      <w:marRight w:val="0"/>
      <w:marTop w:val="0"/>
      <w:marBottom w:val="0"/>
      <w:divBdr>
        <w:top w:val="none" w:sz="0" w:space="0" w:color="auto"/>
        <w:left w:val="none" w:sz="0" w:space="0" w:color="auto"/>
        <w:bottom w:val="none" w:sz="0" w:space="0" w:color="auto"/>
        <w:right w:val="none" w:sz="0" w:space="0" w:color="auto"/>
      </w:divBdr>
    </w:div>
    <w:div w:id="994265125">
      <w:bodyDiv w:val="1"/>
      <w:marLeft w:val="0"/>
      <w:marRight w:val="0"/>
      <w:marTop w:val="0"/>
      <w:marBottom w:val="0"/>
      <w:divBdr>
        <w:top w:val="none" w:sz="0" w:space="0" w:color="auto"/>
        <w:left w:val="none" w:sz="0" w:space="0" w:color="auto"/>
        <w:bottom w:val="none" w:sz="0" w:space="0" w:color="auto"/>
        <w:right w:val="none" w:sz="0" w:space="0" w:color="auto"/>
      </w:divBdr>
      <w:divsChild>
        <w:div w:id="850484348">
          <w:marLeft w:val="806"/>
          <w:marRight w:val="0"/>
          <w:marTop w:val="64"/>
          <w:marBottom w:val="0"/>
          <w:divBdr>
            <w:top w:val="none" w:sz="0" w:space="0" w:color="auto"/>
            <w:left w:val="none" w:sz="0" w:space="0" w:color="auto"/>
            <w:bottom w:val="none" w:sz="0" w:space="0" w:color="auto"/>
            <w:right w:val="none" w:sz="0" w:space="0" w:color="auto"/>
          </w:divBdr>
        </w:div>
        <w:div w:id="1183284440">
          <w:marLeft w:val="1526"/>
          <w:marRight w:val="0"/>
          <w:marTop w:val="64"/>
          <w:marBottom w:val="0"/>
          <w:divBdr>
            <w:top w:val="none" w:sz="0" w:space="0" w:color="auto"/>
            <w:left w:val="none" w:sz="0" w:space="0" w:color="auto"/>
            <w:bottom w:val="none" w:sz="0" w:space="0" w:color="auto"/>
            <w:right w:val="none" w:sz="0" w:space="0" w:color="auto"/>
          </w:divBdr>
        </w:div>
        <w:div w:id="564147908">
          <w:marLeft w:val="1526"/>
          <w:marRight w:val="0"/>
          <w:marTop w:val="64"/>
          <w:marBottom w:val="0"/>
          <w:divBdr>
            <w:top w:val="none" w:sz="0" w:space="0" w:color="auto"/>
            <w:left w:val="none" w:sz="0" w:space="0" w:color="auto"/>
            <w:bottom w:val="none" w:sz="0" w:space="0" w:color="auto"/>
            <w:right w:val="none" w:sz="0" w:space="0" w:color="auto"/>
          </w:divBdr>
        </w:div>
        <w:div w:id="833184320">
          <w:marLeft w:val="1526"/>
          <w:marRight w:val="0"/>
          <w:marTop w:val="64"/>
          <w:marBottom w:val="0"/>
          <w:divBdr>
            <w:top w:val="none" w:sz="0" w:space="0" w:color="auto"/>
            <w:left w:val="none" w:sz="0" w:space="0" w:color="auto"/>
            <w:bottom w:val="none" w:sz="0" w:space="0" w:color="auto"/>
            <w:right w:val="none" w:sz="0" w:space="0" w:color="auto"/>
          </w:divBdr>
        </w:div>
        <w:div w:id="1680692214">
          <w:marLeft w:val="806"/>
          <w:marRight w:val="0"/>
          <w:marTop w:val="64"/>
          <w:marBottom w:val="0"/>
          <w:divBdr>
            <w:top w:val="none" w:sz="0" w:space="0" w:color="auto"/>
            <w:left w:val="none" w:sz="0" w:space="0" w:color="auto"/>
            <w:bottom w:val="none" w:sz="0" w:space="0" w:color="auto"/>
            <w:right w:val="none" w:sz="0" w:space="0" w:color="auto"/>
          </w:divBdr>
        </w:div>
        <w:div w:id="1240674956">
          <w:marLeft w:val="806"/>
          <w:marRight w:val="0"/>
          <w:marTop w:val="64"/>
          <w:marBottom w:val="0"/>
          <w:divBdr>
            <w:top w:val="none" w:sz="0" w:space="0" w:color="auto"/>
            <w:left w:val="none" w:sz="0" w:space="0" w:color="auto"/>
            <w:bottom w:val="none" w:sz="0" w:space="0" w:color="auto"/>
            <w:right w:val="none" w:sz="0" w:space="0" w:color="auto"/>
          </w:divBdr>
        </w:div>
      </w:divsChild>
    </w:div>
    <w:div w:id="1169979510">
      <w:marLeft w:val="0"/>
      <w:marRight w:val="0"/>
      <w:marTop w:val="0"/>
      <w:marBottom w:val="0"/>
      <w:divBdr>
        <w:top w:val="none" w:sz="0" w:space="0" w:color="auto"/>
        <w:left w:val="none" w:sz="0" w:space="0" w:color="auto"/>
        <w:bottom w:val="none" w:sz="0" w:space="0" w:color="auto"/>
        <w:right w:val="none" w:sz="0" w:space="0" w:color="auto"/>
      </w:divBdr>
    </w:div>
    <w:div w:id="1238058284">
      <w:bodyDiv w:val="1"/>
      <w:marLeft w:val="0"/>
      <w:marRight w:val="0"/>
      <w:marTop w:val="0"/>
      <w:marBottom w:val="0"/>
      <w:divBdr>
        <w:top w:val="none" w:sz="0" w:space="0" w:color="auto"/>
        <w:left w:val="none" w:sz="0" w:space="0" w:color="auto"/>
        <w:bottom w:val="none" w:sz="0" w:space="0" w:color="auto"/>
        <w:right w:val="none" w:sz="0" w:space="0" w:color="auto"/>
      </w:divBdr>
      <w:divsChild>
        <w:div w:id="1281106883">
          <w:marLeft w:val="806"/>
          <w:marRight w:val="0"/>
          <w:marTop w:val="64"/>
          <w:marBottom w:val="0"/>
          <w:divBdr>
            <w:top w:val="none" w:sz="0" w:space="0" w:color="auto"/>
            <w:left w:val="none" w:sz="0" w:space="0" w:color="auto"/>
            <w:bottom w:val="none" w:sz="0" w:space="0" w:color="auto"/>
            <w:right w:val="none" w:sz="0" w:space="0" w:color="auto"/>
          </w:divBdr>
        </w:div>
        <w:div w:id="291717576">
          <w:marLeft w:val="1526"/>
          <w:marRight w:val="0"/>
          <w:marTop w:val="64"/>
          <w:marBottom w:val="0"/>
          <w:divBdr>
            <w:top w:val="none" w:sz="0" w:space="0" w:color="auto"/>
            <w:left w:val="none" w:sz="0" w:space="0" w:color="auto"/>
            <w:bottom w:val="none" w:sz="0" w:space="0" w:color="auto"/>
            <w:right w:val="none" w:sz="0" w:space="0" w:color="auto"/>
          </w:divBdr>
        </w:div>
        <w:div w:id="569004064">
          <w:marLeft w:val="1526"/>
          <w:marRight w:val="0"/>
          <w:marTop w:val="64"/>
          <w:marBottom w:val="0"/>
          <w:divBdr>
            <w:top w:val="none" w:sz="0" w:space="0" w:color="auto"/>
            <w:left w:val="none" w:sz="0" w:space="0" w:color="auto"/>
            <w:bottom w:val="none" w:sz="0" w:space="0" w:color="auto"/>
            <w:right w:val="none" w:sz="0" w:space="0" w:color="auto"/>
          </w:divBdr>
        </w:div>
        <w:div w:id="2096509548">
          <w:marLeft w:val="1526"/>
          <w:marRight w:val="0"/>
          <w:marTop w:val="64"/>
          <w:marBottom w:val="0"/>
          <w:divBdr>
            <w:top w:val="none" w:sz="0" w:space="0" w:color="auto"/>
            <w:left w:val="none" w:sz="0" w:space="0" w:color="auto"/>
            <w:bottom w:val="none" w:sz="0" w:space="0" w:color="auto"/>
            <w:right w:val="none" w:sz="0" w:space="0" w:color="auto"/>
          </w:divBdr>
        </w:div>
        <w:div w:id="76942749">
          <w:marLeft w:val="806"/>
          <w:marRight w:val="0"/>
          <w:marTop w:val="64"/>
          <w:marBottom w:val="0"/>
          <w:divBdr>
            <w:top w:val="none" w:sz="0" w:space="0" w:color="auto"/>
            <w:left w:val="none" w:sz="0" w:space="0" w:color="auto"/>
            <w:bottom w:val="none" w:sz="0" w:space="0" w:color="auto"/>
            <w:right w:val="none" w:sz="0" w:space="0" w:color="auto"/>
          </w:divBdr>
        </w:div>
        <w:div w:id="784888196">
          <w:marLeft w:val="1526"/>
          <w:marRight w:val="0"/>
          <w:marTop w:val="64"/>
          <w:marBottom w:val="0"/>
          <w:divBdr>
            <w:top w:val="none" w:sz="0" w:space="0" w:color="auto"/>
            <w:left w:val="none" w:sz="0" w:space="0" w:color="auto"/>
            <w:bottom w:val="none" w:sz="0" w:space="0" w:color="auto"/>
            <w:right w:val="none" w:sz="0" w:space="0" w:color="auto"/>
          </w:divBdr>
        </w:div>
        <w:div w:id="39016182">
          <w:marLeft w:val="1526"/>
          <w:marRight w:val="0"/>
          <w:marTop w:val="64"/>
          <w:marBottom w:val="0"/>
          <w:divBdr>
            <w:top w:val="none" w:sz="0" w:space="0" w:color="auto"/>
            <w:left w:val="none" w:sz="0" w:space="0" w:color="auto"/>
            <w:bottom w:val="none" w:sz="0" w:space="0" w:color="auto"/>
            <w:right w:val="none" w:sz="0" w:space="0" w:color="auto"/>
          </w:divBdr>
        </w:div>
        <w:div w:id="1779596322">
          <w:marLeft w:val="1526"/>
          <w:marRight w:val="0"/>
          <w:marTop w:val="64"/>
          <w:marBottom w:val="0"/>
          <w:divBdr>
            <w:top w:val="none" w:sz="0" w:space="0" w:color="auto"/>
            <w:left w:val="none" w:sz="0" w:space="0" w:color="auto"/>
            <w:bottom w:val="none" w:sz="0" w:space="0" w:color="auto"/>
            <w:right w:val="none" w:sz="0" w:space="0" w:color="auto"/>
          </w:divBdr>
        </w:div>
      </w:divsChild>
    </w:div>
    <w:div w:id="1260717698">
      <w:bodyDiv w:val="1"/>
      <w:marLeft w:val="0"/>
      <w:marRight w:val="0"/>
      <w:marTop w:val="0"/>
      <w:marBottom w:val="0"/>
      <w:divBdr>
        <w:top w:val="none" w:sz="0" w:space="0" w:color="auto"/>
        <w:left w:val="none" w:sz="0" w:space="0" w:color="auto"/>
        <w:bottom w:val="none" w:sz="0" w:space="0" w:color="auto"/>
        <w:right w:val="none" w:sz="0" w:space="0" w:color="auto"/>
      </w:divBdr>
      <w:divsChild>
        <w:div w:id="1228109850">
          <w:marLeft w:val="806"/>
          <w:marRight w:val="0"/>
          <w:marTop w:val="64"/>
          <w:marBottom w:val="0"/>
          <w:divBdr>
            <w:top w:val="none" w:sz="0" w:space="0" w:color="auto"/>
            <w:left w:val="none" w:sz="0" w:space="0" w:color="auto"/>
            <w:bottom w:val="none" w:sz="0" w:space="0" w:color="auto"/>
            <w:right w:val="none" w:sz="0" w:space="0" w:color="auto"/>
          </w:divBdr>
        </w:div>
        <w:div w:id="960110318">
          <w:marLeft w:val="1526"/>
          <w:marRight w:val="0"/>
          <w:marTop w:val="64"/>
          <w:marBottom w:val="0"/>
          <w:divBdr>
            <w:top w:val="none" w:sz="0" w:space="0" w:color="auto"/>
            <w:left w:val="none" w:sz="0" w:space="0" w:color="auto"/>
            <w:bottom w:val="none" w:sz="0" w:space="0" w:color="auto"/>
            <w:right w:val="none" w:sz="0" w:space="0" w:color="auto"/>
          </w:divBdr>
        </w:div>
        <w:div w:id="406804885">
          <w:marLeft w:val="2246"/>
          <w:marRight w:val="0"/>
          <w:marTop w:val="64"/>
          <w:marBottom w:val="0"/>
          <w:divBdr>
            <w:top w:val="none" w:sz="0" w:space="0" w:color="auto"/>
            <w:left w:val="none" w:sz="0" w:space="0" w:color="auto"/>
            <w:bottom w:val="none" w:sz="0" w:space="0" w:color="auto"/>
            <w:right w:val="none" w:sz="0" w:space="0" w:color="auto"/>
          </w:divBdr>
        </w:div>
        <w:div w:id="1438401680">
          <w:marLeft w:val="2246"/>
          <w:marRight w:val="0"/>
          <w:marTop w:val="64"/>
          <w:marBottom w:val="0"/>
          <w:divBdr>
            <w:top w:val="none" w:sz="0" w:space="0" w:color="auto"/>
            <w:left w:val="none" w:sz="0" w:space="0" w:color="auto"/>
            <w:bottom w:val="none" w:sz="0" w:space="0" w:color="auto"/>
            <w:right w:val="none" w:sz="0" w:space="0" w:color="auto"/>
          </w:divBdr>
        </w:div>
        <w:div w:id="464006832">
          <w:marLeft w:val="1526"/>
          <w:marRight w:val="0"/>
          <w:marTop w:val="64"/>
          <w:marBottom w:val="0"/>
          <w:divBdr>
            <w:top w:val="none" w:sz="0" w:space="0" w:color="auto"/>
            <w:left w:val="none" w:sz="0" w:space="0" w:color="auto"/>
            <w:bottom w:val="none" w:sz="0" w:space="0" w:color="auto"/>
            <w:right w:val="none" w:sz="0" w:space="0" w:color="auto"/>
          </w:divBdr>
        </w:div>
        <w:div w:id="1605763435">
          <w:marLeft w:val="2246"/>
          <w:marRight w:val="0"/>
          <w:marTop w:val="64"/>
          <w:marBottom w:val="0"/>
          <w:divBdr>
            <w:top w:val="none" w:sz="0" w:space="0" w:color="auto"/>
            <w:left w:val="none" w:sz="0" w:space="0" w:color="auto"/>
            <w:bottom w:val="none" w:sz="0" w:space="0" w:color="auto"/>
            <w:right w:val="none" w:sz="0" w:space="0" w:color="auto"/>
          </w:divBdr>
        </w:div>
        <w:div w:id="1578900444">
          <w:marLeft w:val="2246"/>
          <w:marRight w:val="0"/>
          <w:marTop w:val="64"/>
          <w:marBottom w:val="0"/>
          <w:divBdr>
            <w:top w:val="none" w:sz="0" w:space="0" w:color="auto"/>
            <w:left w:val="none" w:sz="0" w:space="0" w:color="auto"/>
            <w:bottom w:val="none" w:sz="0" w:space="0" w:color="auto"/>
            <w:right w:val="none" w:sz="0" w:space="0" w:color="auto"/>
          </w:divBdr>
        </w:div>
      </w:divsChild>
    </w:div>
    <w:div w:id="1382557174">
      <w:bodyDiv w:val="1"/>
      <w:marLeft w:val="0"/>
      <w:marRight w:val="0"/>
      <w:marTop w:val="0"/>
      <w:marBottom w:val="0"/>
      <w:divBdr>
        <w:top w:val="none" w:sz="0" w:space="0" w:color="auto"/>
        <w:left w:val="none" w:sz="0" w:space="0" w:color="auto"/>
        <w:bottom w:val="none" w:sz="0" w:space="0" w:color="auto"/>
        <w:right w:val="none" w:sz="0" w:space="0" w:color="auto"/>
      </w:divBdr>
    </w:div>
    <w:div w:id="1557230958">
      <w:bodyDiv w:val="1"/>
      <w:marLeft w:val="0"/>
      <w:marRight w:val="0"/>
      <w:marTop w:val="0"/>
      <w:marBottom w:val="0"/>
      <w:divBdr>
        <w:top w:val="none" w:sz="0" w:space="0" w:color="auto"/>
        <w:left w:val="none" w:sz="0" w:space="0" w:color="auto"/>
        <w:bottom w:val="none" w:sz="0" w:space="0" w:color="auto"/>
        <w:right w:val="none" w:sz="0" w:space="0" w:color="auto"/>
      </w:divBdr>
    </w:div>
    <w:div w:id="1568028073">
      <w:marLeft w:val="0"/>
      <w:marRight w:val="0"/>
      <w:marTop w:val="0"/>
      <w:marBottom w:val="0"/>
      <w:divBdr>
        <w:top w:val="none" w:sz="0" w:space="0" w:color="auto"/>
        <w:left w:val="none" w:sz="0" w:space="0" w:color="auto"/>
        <w:bottom w:val="none" w:sz="0" w:space="0" w:color="auto"/>
        <w:right w:val="none" w:sz="0" w:space="0" w:color="auto"/>
      </w:divBdr>
    </w:div>
    <w:div w:id="1573851642">
      <w:marLeft w:val="0"/>
      <w:marRight w:val="0"/>
      <w:marTop w:val="0"/>
      <w:marBottom w:val="0"/>
      <w:divBdr>
        <w:top w:val="none" w:sz="0" w:space="0" w:color="auto"/>
        <w:left w:val="none" w:sz="0" w:space="0" w:color="auto"/>
        <w:bottom w:val="none" w:sz="0" w:space="0" w:color="auto"/>
        <w:right w:val="none" w:sz="0" w:space="0" w:color="auto"/>
      </w:divBdr>
    </w:div>
    <w:div w:id="1737391407">
      <w:marLeft w:val="0"/>
      <w:marRight w:val="0"/>
      <w:marTop w:val="0"/>
      <w:marBottom w:val="0"/>
      <w:divBdr>
        <w:top w:val="none" w:sz="0" w:space="0" w:color="auto"/>
        <w:left w:val="none" w:sz="0" w:space="0" w:color="auto"/>
        <w:bottom w:val="none" w:sz="0" w:space="0" w:color="auto"/>
        <w:right w:val="none" w:sz="0" w:space="0" w:color="auto"/>
      </w:divBdr>
    </w:div>
    <w:div w:id="1794782943">
      <w:bodyDiv w:val="1"/>
      <w:marLeft w:val="0"/>
      <w:marRight w:val="0"/>
      <w:marTop w:val="0"/>
      <w:marBottom w:val="0"/>
      <w:divBdr>
        <w:top w:val="none" w:sz="0" w:space="0" w:color="auto"/>
        <w:left w:val="none" w:sz="0" w:space="0" w:color="auto"/>
        <w:bottom w:val="none" w:sz="0" w:space="0" w:color="auto"/>
        <w:right w:val="none" w:sz="0" w:space="0" w:color="auto"/>
      </w:divBdr>
      <w:divsChild>
        <w:div w:id="2117408603">
          <w:marLeft w:val="806"/>
          <w:marRight w:val="0"/>
          <w:marTop w:val="64"/>
          <w:marBottom w:val="0"/>
          <w:divBdr>
            <w:top w:val="none" w:sz="0" w:space="0" w:color="auto"/>
            <w:left w:val="none" w:sz="0" w:space="0" w:color="auto"/>
            <w:bottom w:val="none" w:sz="0" w:space="0" w:color="auto"/>
            <w:right w:val="none" w:sz="0" w:space="0" w:color="auto"/>
          </w:divBdr>
        </w:div>
        <w:div w:id="126317193">
          <w:marLeft w:val="1526"/>
          <w:marRight w:val="0"/>
          <w:marTop w:val="64"/>
          <w:marBottom w:val="0"/>
          <w:divBdr>
            <w:top w:val="none" w:sz="0" w:space="0" w:color="auto"/>
            <w:left w:val="none" w:sz="0" w:space="0" w:color="auto"/>
            <w:bottom w:val="none" w:sz="0" w:space="0" w:color="auto"/>
            <w:right w:val="none" w:sz="0" w:space="0" w:color="auto"/>
          </w:divBdr>
        </w:div>
        <w:div w:id="1923756794">
          <w:marLeft w:val="1526"/>
          <w:marRight w:val="0"/>
          <w:marTop w:val="64"/>
          <w:marBottom w:val="0"/>
          <w:divBdr>
            <w:top w:val="none" w:sz="0" w:space="0" w:color="auto"/>
            <w:left w:val="none" w:sz="0" w:space="0" w:color="auto"/>
            <w:bottom w:val="none" w:sz="0" w:space="0" w:color="auto"/>
            <w:right w:val="none" w:sz="0" w:space="0" w:color="auto"/>
          </w:divBdr>
        </w:div>
        <w:div w:id="1908342890">
          <w:marLeft w:val="1526"/>
          <w:marRight w:val="0"/>
          <w:marTop w:val="64"/>
          <w:marBottom w:val="0"/>
          <w:divBdr>
            <w:top w:val="none" w:sz="0" w:space="0" w:color="auto"/>
            <w:left w:val="none" w:sz="0" w:space="0" w:color="auto"/>
            <w:bottom w:val="none" w:sz="0" w:space="0" w:color="auto"/>
            <w:right w:val="none" w:sz="0" w:space="0" w:color="auto"/>
          </w:divBdr>
        </w:div>
        <w:div w:id="321470067">
          <w:marLeft w:val="1526"/>
          <w:marRight w:val="0"/>
          <w:marTop w:val="64"/>
          <w:marBottom w:val="0"/>
          <w:divBdr>
            <w:top w:val="none" w:sz="0" w:space="0" w:color="auto"/>
            <w:left w:val="none" w:sz="0" w:space="0" w:color="auto"/>
            <w:bottom w:val="none" w:sz="0" w:space="0" w:color="auto"/>
            <w:right w:val="none" w:sz="0" w:space="0" w:color="auto"/>
          </w:divBdr>
        </w:div>
      </w:divsChild>
    </w:div>
    <w:div w:id="1831630437">
      <w:marLeft w:val="0"/>
      <w:marRight w:val="0"/>
      <w:marTop w:val="0"/>
      <w:marBottom w:val="0"/>
      <w:divBdr>
        <w:top w:val="none" w:sz="0" w:space="0" w:color="auto"/>
        <w:left w:val="none" w:sz="0" w:space="0" w:color="auto"/>
        <w:bottom w:val="none" w:sz="0" w:space="0" w:color="auto"/>
        <w:right w:val="none" w:sz="0" w:space="0" w:color="auto"/>
      </w:divBdr>
    </w:div>
    <w:div w:id="2109233086">
      <w:marLeft w:val="0"/>
      <w:marRight w:val="0"/>
      <w:marTop w:val="0"/>
      <w:marBottom w:val="0"/>
      <w:divBdr>
        <w:top w:val="none" w:sz="0" w:space="0" w:color="auto"/>
        <w:left w:val="none" w:sz="0" w:space="0" w:color="auto"/>
        <w:bottom w:val="none" w:sz="0" w:space="0" w:color="auto"/>
        <w:right w:val="none" w:sz="0" w:space="0" w:color="auto"/>
      </w:divBdr>
    </w:div>
    <w:div w:id="212881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MRO</a:t>
            </a:r>
            <a:r>
              <a:rPr lang="en-US" baseline="0"/>
              <a:t> Performance</a:t>
            </a:r>
            <a:endParaRPr lang="en-US"/>
          </a:p>
        </c:rich>
      </c:tx>
      <c:layout/>
      <c:overlay val="0"/>
    </c:title>
    <c:autoTitleDeleted val="0"/>
    <c:plotArea>
      <c:layout>
        <c:manualLayout>
          <c:layoutTarget val="inner"/>
          <c:xMode val="edge"/>
          <c:yMode val="edge"/>
          <c:x val="0.18606804132152457"/>
          <c:y val="0.19480351414406533"/>
          <c:w val="0.57851753799405925"/>
          <c:h val="0.75379593175853021"/>
        </c:manualLayout>
      </c:layout>
      <c:lineChart>
        <c:grouping val="standard"/>
        <c:varyColors val="0"/>
        <c:ser>
          <c:idx val="0"/>
          <c:order val="0"/>
          <c:tx>
            <c:strRef>
              <c:f>Sheet3!$B$6</c:f>
              <c:strCache>
                <c:ptCount val="1"/>
                <c:pt idx="0">
                  <c:v>Total Revenue</c:v>
                </c:pt>
              </c:strCache>
            </c:strRef>
          </c:tx>
          <c:marker>
            <c:symbol val="none"/>
          </c:marker>
          <c:cat>
            <c:numRef>
              <c:f>Sheet3!$C$5:$F$5</c:f>
              <c:numCache>
                <c:formatCode>General</c:formatCode>
                <c:ptCount val="4"/>
                <c:pt idx="0">
                  <c:v>2020</c:v>
                </c:pt>
                <c:pt idx="1">
                  <c:v>2019</c:v>
                </c:pt>
                <c:pt idx="2">
                  <c:v>2018</c:v>
                </c:pt>
                <c:pt idx="3">
                  <c:v>2017</c:v>
                </c:pt>
              </c:numCache>
            </c:numRef>
          </c:cat>
          <c:val>
            <c:numRef>
              <c:f>Sheet3!$C$6:$F$6</c:f>
              <c:numCache>
                <c:formatCode>#,##0</c:formatCode>
                <c:ptCount val="4"/>
                <c:pt idx="0">
                  <c:v>3097000</c:v>
                </c:pt>
                <c:pt idx="1">
                  <c:v>5063000</c:v>
                </c:pt>
                <c:pt idx="2">
                  <c:v>5902000</c:v>
                </c:pt>
                <c:pt idx="3">
                  <c:v>4373000</c:v>
                </c:pt>
              </c:numCache>
            </c:numRef>
          </c:val>
          <c:smooth val="0"/>
        </c:ser>
        <c:ser>
          <c:idx val="1"/>
          <c:order val="1"/>
          <c:tx>
            <c:strRef>
              <c:f>Sheet3!$B$7</c:f>
              <c:strCache>
                <c:ptCount val="1"/>
                <c:pt idx="0">
                  <c:v>Gross Profit</c:v>
                </c:pt>
              </c:strCache>
            </c:strRef>
          </c:tx>
          <c:marker>
            <c:symbol val="none"/>
          </c:marker>
          <c:cat>
            <c:numRef>
              <c:f>Sheet3!$C$5:$F$5</c:f>
              <c:numCache>
                <c:formatCode>General</c:formatCode>
                <c:ptCount val="4"/>
                <c:pt idx="0">
                  <c:v>2020</c:v>
                </c:pt>
                <c:pt idx="1">
                  <c:v>2019</c:v>
                </c:pt>
                <c:pt idx="2">
                  <c:v>2018</c:v>
                </c:pt>
                <c:pt idx="3">
                  <c:v>2017</c:v>
                </c:pt>
              </c:numCache>
            </c:numRef>
          </c:cat>
          <c:val>
            <c:numRef>
              <c:f>Sheet3!$C$7:$F$7</c:f>
              <c:numCache>
                <c:formatCode>#,##0</c:formatCode>
                <c:ptCount val="4"/>
                <c:pt idx="0">
                  <c:v>-370000</c:v>
                </c:pt>
                <c:pt idx="1">
                  <c:v>1349000</c:v>
                </c:pt>
                <c:pt idx="2">
                  <c:v>2044000</c:v>
                </c:pt>
                <c:pt idx="3">
                  <c:v>696000</c:v>
                </c:pt>
              </c:numCache>
            </c:numRef>
          </c:val>
          <c:smooth val="0"/>
        </c:ser>
        <c:ser>
          <c:idx val="2"/>
          <c:order val="2"/>
          <c:tx>
            <c:strRef>
              <c:f>Sheet3!$B$8</c:f>
              <c:strCache>
                <c:ptCount val="1"/>
                <c:pt idx="0">
                  <c:v>Pretax Income</c:v>
                </c:pt>
              </c:strCache>
            </c:strRef>
          </c:tx>
          <c:marker>
            <c:symbol val="none"/>
          </c:marker>
          <c:cat>
            <c:numRef>
              <c:f>Sheet3!$C$5:$F$5</c:f>
              <c:numCache>
                <c:formatCode>General</c:formatCode>
                <c:ptCount val="4"/>
                <c:pt idx="0">
                  <c:v>2020</c:v>
                </c:pt>
                <c:pt idx="1">
                  <c:v>2019</c:v>
                </c:pt>
                <c:pt idx="2">
                  <c:v>2018</c:v>
                </c:pt>
                <c:pt idx="3">
                  <c:v>2017</c:v>
                </c:pt>
              </c:numCache>
            </c:numRef>
          </c:cat>
          <c:val>
            <c:numRef>
              <c:f>Sheet3!$C$8:$F$8</c:f>
              <c:numCache>
                <c:formatCode>#,##0</c:formatCode>
                <c:ptCount val="4"/>
                <c:pt idx="0">
                  <c:v>-1465000</c:v>
                </c:pt>
                <c:pt idx="1">
                  <c:v>392000</c:v>
                </c:pt>
                <c:pt idx="2">
                  <c:v>1427000</c:v>
                </c:pt>
                <c:pt idx="3">
                  <c:v>-454000</c:v>
                </c:pt>
              </c:numCache>
            </c:numRef>
          </c:val>
          <c:smooth val="0"/>
        </c:ser>
        <c:ser>
          <c:idx val="3"/>
          <c:order val="3"/>
          <c:tx>
            <c:strRef>
              <c:f>Sheet3!$B$9</c:f>
              <c:strCache>
                <c:ptCount val="1"/>
                <c:pt idx="0">
                  <c:v>Net Income from Continuing &amp; Discontinued Operation</c:v>
                </c:pt>
              </c:strCache>
            </c:strRef>
          </c:tx>
          <c:marker>
            <c:symbol val="none"/>
          </c:marker>
          <c:cat>
            <c:numRef>
              <c:f>Sheet3!$C$5:$F$5</c:f>
              <c:numCache>
                <c:formatCode>General</c:formatCode>
                <c:ptCount val="4"/>
                <c:pt idx="0">
                  <c:v>2020</c:v>
                </c:pt>
                <c:pt idx="1">
                  <c:v>2019</c:v>
                </c:pt>
                <c:pt idx="2">
                  <c:v>2018</c:v>
                </c:pt>
                <c:pt idx="3">
                  <c:v>2017</c:v>
                </c:pt>
              </c:numCache>
            </c:numRef>
          </c:cat>
          <c:val>
            <c:numRef>
              <c:f>Sheet3!$C$9:$F$9</c:f>
              <c:numCache>
                <c:formatCode>#,##0</c:formatCode>
                <c:ptCount val="4"/>
                <c:pt idx="0">
                  <c:v>-1451000</c:v>
                </c:pt>
                <c:pt idx="1">
                  <c:v>480000</c:v>
                </c:pt>
                <c:pt idx="2">
                  <c:v>1096000</c:v>
                </c:pt>
                <c:pt idx="3">
                  <c:v>-5723000</c:v>
                </c:pt>
              </c:numCache>
            </c:numRef>
          </c:val>
          <c:smooth val="0"/>
        </c:ser>
        <c:dLbls>
          <c:showLegendKey val="0"/>
          <c:showVal val="0"/>
          <c:showCatName val="0"/>
          <c:showSerName val="0"/>
          <c:showPercent val="0"/>
          <c:showBubbleSize val="0"/>
        </c:dLbls>
        <c:marker val="1"/>
        <c:smooth val="0"/>
        <c:axId val="170206336"/>
        <c:axId val="170207872"/>
      </c:lineChart>
      <c:catAx>
        <c:axId val="170206336"/>
        <c:scaling>
          <c:orientation val="minMax"/>
        </c:scaling>
        <c:delete val="0"/>
        <c:axPos val="b"/>
        <c:numFmt formatCode="General" sourceLinked="1"/>
        <c:majorTickMark val="none"/>
        <c:minorTickMark val="none"/>
        <c:tickLblPos val="nextTo"/>
        <c:crossAx val="170207872"/>
        <c:crosses val="autoZero"/>
        <c:auto val="1"/>
        <c:lblAlgn val="ctr"/>
        <c:lblOffset val="100"/>
        <c:noMultiLvlLbl val="0"/>
      </c:catAx>
      <c:valAx>
        <c:axId val="170207872"/>
        <c:scaling>
          <c:orientation val="minMax"/>
        </c:scaling>
        <c:delete val="0"/>
        <c:axPos val="l"/>
        <c:majorGridlines/>
        <c:title>
          <c:tx>
            <c:rich>
              <a:bodyPr/>
              <a:lstStyle/>
              <a:p>
                <a:pPr>
                  <a:defRPr/>
                </a:pPr>
                <a:r>
                  <a:rPr lang="en-US"/>
                  <a:t>in thousands</a:t>
                </a:r>
                <a:r>
                  <a:rPr lang="en-US" baseline="0"/>
                  <a:t>  </a:t>
                </a:r>
                <a:endParaRPr lang="en-US"/>
              </a:p>
            </c:rich>
          </c:tx>
          <c:layout/>
          <c:overlay val="0"/>
        </c:title>
        <c:numFmt formatCode="#,##0" sourceLinked="1"/>
        <c:majorTickMark val="none"/>
        <c:minorTickMark val="none"/>
        <c:tickLblPos val="nextTo"/>
        <c:crossAx val="170206336"/>
        <c:crosses val="autoZero"/>
        <c:crossBetween val="between"/>
      </c:valAx>
    </c:plotArea>
    <c:legend>
      <c:legendPos val="r"/>
      <c:layout>
        <c:manualLayout>
          <c:xMode val="edge"/>
          <c:yMode val="edge"/>
          <c:x val="0.79857385244522072"/>
          <c:y val="0.19439814814814815"/>
          <c:w val="0.18475943539986445"/>
          <c:h val="0.75460629921259847"/>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572</TotalTime>
  <Pages>15</Pages>
  <Words>2594</Words>
  <Characters>14790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29</cp:revision>
  <dcterms:created xsi:type="dcterms:W3CDTF">2021-10-29T13:25:00Z</dcterms:created>
  <dcterms:modified xsi:type="dcterms:W3CDTF">2021-11-04T16:04:00Z</dcterms:modified>
</cp:coreProperties>
</file>